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8229" w14:textId="17401EDF" w:rsidR="008614F5" w:rsidRDefault="00F33663">
      <w:pPr>
        <w:spacing w:after="341" w:line="259" w:lineRule="auto"/>
        <w:ind w:left="97" w:right="0"/>
        <w:jc w:val="left"/>
      </w:pPr>
      <w:r>
        <w:rPr>
          <w:b/>
          <w:color w:val="FF0000"/>
        </w:rPr>
        <w:t xml:space="preserve">Sujet 1 : Concentration en soluté / Concentration </w:t>
      </w:r>
      <w:r w:rsidR="00E7355C">
        <w:rPr>
          <w:b/>
          <w:color w:val="FF0000"/>
        </w:rPr>
        <w:t>effective</w:t>
      </w:r>
      <w:r>
        <w:rPr>
          <w:b/>
          <w:color w:val="FF0000"/>
        </w:rPr>
        <w:t xml:space="preserve"> / Solubilité et miscibilité d'une espèce </w:t>
      </w:r>
    </w:p>
    <w:p w14:paraId="250A409A" w14:textId="77777777" w:rsidR="008614F5" w:rsidRDefault="00F33663">
      <w:pPr>
        <w:pStyle w:val="Titre1"/>
        <w:numPr>
          <w:ilvl w:val="0"/>
          <w:numId w:val="0"/>
        </w:numPr>
        <w:ind w:left="-5"/>
      </w:pPr>
      <w:r>
        <w:t xml:space="preserve"> Introduction </w:t>
      </w:r>
    </w:p>
    <w:p w14:paraId="155D2864" w14:textId="749E92E2" w:rsidR="008614F5" w:rsidRDefault="00F33663">
      <w:pPr>
        <w:spacing w:after="280"/>
        <w:ind w:right="0"/>
      </w:pPr>
      <w:r>
        <w:t xml:space="preserve"> "</w:t>
      </w:r>
      <w:r w:rsidR="00FE3407">
        <w:t>Tout est poison</w:t>
      </w:r>
      <w:r>
        <w:t xml:space="preserve">,  rien  </w:t>
      </w:r>
      <w:r w:rsidR="00FE3407">
        <w:t>n’est poison</w:t>
      </w:r>
      <w:r>
        <w:t xml:space="preserve">  :  </w:t>
      </w:r>
      <w:r w:rsidR="00FE3407">
        <w:t>c’est la dose qui fait le poison</w:t>
      </w:r>
      <w:r>
        <w:t xml:space="preserve">",  a  dit Paracelse.  </w:t>
      </w:r>
      <w:r w:rsidR="00A90921">
        <w:t>Cette citation illustre bien l’importance de la concentration d’une espèce chimique en solution</w:t>
      </w:r>
      <w:r>
        <w:t xml:space="preserve">,  qui  </w:t>
      </w:r>
      <w:r w:rsidR="00A90921">
        <w:t>influence de manière cruciale les réactions chimiques et les propriétés des mélanges</w:t>
      </w:r>
      <w:r>
        <w:t>.  Au-</w:t>
      </w:r>
      <w:r w:rsidR="00A90921">
        <w:t>delà de cette notion</w:t>
      </w:r>
      <w:r>
        <w:t xml:space="preserve">,  la  </w:t>
      </w:r>
      <w:r w:rsidR="00A90921">
        <w:t>solubilité et la miscibilité jouent également un rôle central dans de nombreux processus naturels et industriels</w:t>
      </w:r>
      <w:r>
        <w:t xml:space="preserve">. </w:t>
      </w:r>
      <w:r>
        <w:rPr>
          <w:b/>
          <w:color w:val="0000FF"/>
        </w:rPr>
        <w:t xml:space="preserve"> Problématique </w:t>
      </w:r>
      <w:r>
        <w:t xml:space="preserve"> :  </w:t>
      </w:r>
      <w:r w:rsidR="00A90921">
        <w:t>Comment les notions de concentration</w:t>
      </w:r>
      <w:r>
        <w:t xml:space="preserve">,  de  </w:t>
      </w:r>
      <w:r w:rsidR="00A90921">
        <w:t>solubilité et de miscibilité permettent</w:t>
      </w:r>
      <w:r>
        <w:t>-</w:t>
      </w:r>
      <w:r w:rsidR="00A90921">
        <w:t>elles d’expliquer les propriétés et les comportements des solutions</w:t>
      </w:r>
      <w:r>
        <w:t xml:space="preserve">  ?  </w:t>
      </w:r>
      <w:r w:rsidR="00A90921">
        <w:t>Pour répondre à cette question</w:t>
      </w:r>
      <w:r>
        <w:t xml:space="preserve">,  nous  dé </w:t>
      </w:r>
      <w:r w:rsidR="00A90921">
        <w:t>n’irons d’abord les différents types de concentration et leur calcul</w:t>
      </w:r>
      <w:r>
        <w:t xml:space="preserve">  (I),  nous  </w:t>
      </w:r>
      <w:r w:rsidR="00A90921">
        <w:t>examinerons ensuite les concepts</w:t>
      </w:r>
      <w:r>
        <w:t xml:space="preserve"> de solubilité et de miscibilité (II), avant de voir leurs applications dans des domaines variés (III). </w:t>
      </w:r>
    </w:p>
    <w:p w14:paraId="31E35301" w14:textId="33DAEE80" w:rsidR="008614F5" w:rsidRDefault="00F33663">
      <w:pPr>
        <w:pStyle w:val="Titre1"/>
        <w:ind w:left="171" w:hanging="186"/>
      </w:pPr>
      <w:r>
        <w:t>Dé</w:t>
      </w:r>
      <w:r w:rsidR="00EE40E1">
        <w:t>fi</w:t>
      </w:r>
      <w:r>
        <w:t xml:space="preserve">nition et calculs des concentrations </w:t>
      </w:r>
    </w:p>
    <w:p w14:paraId="78F41C8F" w14:textId="33A552A3" w:rsidR="008614F5" w:rsidRDefault="00F33663">
      <w:pPr>
        <w:spacing w:after="240"/>
        <w:ind w:right="0"/>
      </w:pPr>
      <w:r>
        <w:t xml:space="preserve"> </w:t>
      </w:r>
      <w:r w:rsidR="00A90921">
        <w:t>La concentration d’une espèce chimique correspond à la quantité de soluté dissoute dans un certain volume</w:t>
      </w:r>
      <w:r>
        <w:t xml:space="preserve"> de solvant. </w:t>
      </w:r>
    </w:p>
    <w:p w14:paraId="47F899ED" w14:textId="77777777" w:rsidR="008614F5" w:rsidRDefault="00F33663">
      <w:pPr>
        <w:numPr>
          <w:ilvl w:val="0"/>
          <w:numId w:val="1"/>
        </w:numPr>
        <w:spacing w:after="62" w:line="259" w:lineRule="auto"/>
        <w:ind w:right="0" w:hanging="109"/>
        <w:jc w:val="left"/>
      </w:pPr>
      <w:r>
        <w:t xml:space="preserve">. </w:t>
      </w:r>
      <w:r>
        <w:rPr>
          <w:b/>
          <w:color w:val="00FF00"/>
        </w:rPr>
        <w:t xml:space="preserve"> Concentration molaire </w:t>
      </w:r>
    </w:p>
    <w:p w14:paraId="2735FC3B" w14:textId="77777777" w:rsidR="008614F5" w:rsidRDefault="00F33663">
      <w:pPr>
        <w:ind w:left="715" w:right="0"/>
      </w:pPr>
      <w:r>
        <w:t xml:space="preserve"> La concentration molaire (CCC) est dé nie par la formule : </w:t>
      </w:r>
    </w:p>
    <w:p w14:paraId="5D1A22D2" w14:textId="7C0BF99A" w:rsidR="008614F5" w:rsidRDefault="00F33663">
      <w:pPr>
        <w:spacing w:after="240"/>
        <w:ind w:left="715" w:right="1565"/>
      </w:pPr>
      <w:r>
        <w:rPr>
          <w:rFonts w:ascii="Cambria Math" w:eastAsia="Cambria Math" w:hAnsi="Cambria Math" w:cs="Cambria Math"/>
        </w:rPr>
        <w:t xml:space="preserve"> 𝐶 = 𝑛 / </w:t>
      </w:r>
      <w:r w:rsidR="00A90921">
        <w:rPr>
          <w:rFonts w:ascii="Cambria Math" w:eastAsia="Cambria Math" w:hAnsi="Cambria Math" w:cs="Cambria Math"/>
        </w:rPr>
        <w:t xml:space="preserve">𝑉 </w:t>
      </w:r>
      <w:r w:rsidR="00A90921">
        <w:t xml:space="preserve">où </w:t>
      </w:r>
      <w:r w:rsidR="00A90921">
        <w:rPr>
          <w:i/>
        </w:rPr>
        <w:t xml:space="preserve">n </w:t>
      </w:r>
      <w:r w:rsidR="00A90921">
        <w:t>est</w:t>
      </w:r>
      <w:r>
        <w:t xml:space="preserve"> la quantité de matière (en moles) </w:t>
      </w:r>
      <w:r w:rsidR="00A90921">
        <w:t xml:space="preserve">et </w:t>
      </w:r>
      <w:r w:rsidR="00A90921">
        <w:rPr>
          <w:i/>
        </w:rPr>
        <w:t xml:space="preserve">V </w:t>
      </w:r>
      <w:r w:rsidR="00A90921">
        <w:t>le</w:t>
      </w:r>
      <w:r>
        <w:t xml:space="preserve"> volume de solution (en litres). </w:t>
      </w:r>
    </w:p>
    <w:p w14:paraId="4EB6C5C1" w14:textId="0217C5F5" w:rsidR="008614F5" w:rsidRDefault="00F33663">
      <w:pPr>
        <w:spacing w:after="240"/>
        <w:ind w:right="0"/>
      </w:pPr>
      <w:r>
        <w:rPr>
          <w:b/>
        </w:rPr>
        <w:t xml:space="preserve"> Exemple </w:t>
      </w:r>
      <w:r>
        <w:t xml:space="preserve"> :  </w:t>
      </w:r>
      <w:r w:rsidR="00A90921">
        <w:t>Si on dissout 0</w:t>
      </w:r>
      <w:r>
        <w:t>,</w:t>
      </w:r>
      <w:r w:rsidR="00A90921">
        <w:t>1 mol de NaCl dans 1 L d’eau</w:t>
      </w:r>
      <w:r>
        <w:t xml:space="preserve">,  la  </w:t>
      </w:r>
      <w:r w:rsidR="00A90921">
        <w:t>concentration molaire est de 0</w:t>
      </w:r>
      <w:r>
        <w:t>,</w:t>
      </w:r>
      <w:r w:rsidR="00A90921">
        <w:t>1 mol</w:t>
      </w:r>
      <w:r>
        <w:t xml:space="preserve">/L.  </w:t>
      </w:r>
      <w:r w:rsidR="00A90921">
        <w:t>La concentration</w:t>
      </w:r>
      <w:r>
        <w:t xml:space="preserve"> molaire est essentielle dans les dosages et pour équilibrer les réactions chimiques. </w:t>
      </w:r>
    </w:p>
    <w:p w14:paraId="54CD536E" w14:textId="77777777" w:rsidR="008614F5" w:rsidRDefault="00F33663">
      <w:pPr>
        <w:numPr>
          <w:ilvl w:val="0"/>
          <w:numId w:val="1"/>
        </w:numPr>
        <w:spacing w:after="62" w:line="259" w:lineRule="auto"/>
        <w:ind w:right="0" w:hanging="109"/>
        <w:jc w:val="left"/>
      </w:pPr>
      <w:r>
        <w:t xml:space="preserve">. </w:t>
      </w:r>
      <w:r>
        <w:rPr>
          <w:b/>
          <w:color w:val="00FF00"/>
        </w:rPr>
        <w:t xml:space="preserve"> Concentration massique </w:t>
      </w:r>
    </w:p>
    <w:p w14:paraId="64068664" w14:textId="77777777" w:rsidR="008614F5" w:rsidRDefault="00F33663">
      <w:pPr>
        <w:ind w:left="715" w:right="0"/>
      </w:pPr>
      <w:r>
        <w:t xml:space="preserve"> Elle se calcule avec la formule : </w:t>
      </w:r>
    </w:p>
    <w:p w14:paraId="695E8597" w14:textId="77777777" w:rsidR="008614F5" w:rsidRDefault="00F33663">
      <w:pPr>
        <w:spacing w:after="50" w:line="259" w:lineRule="auto"/>
        <w:ind w:left="715" w:right="0"/>
        <w:jc w:val="left"/>
      </w:pPr>
      <w:r>
        <w:rPr>
          <w:rFonts w:ascii="Cambria Math" w:eastAsia="Cambria Math" w:hAnsi="Cambria Math" w:cs="Cambria Math"/>
        </w:rPr>
        <w:t xml:space="preserve"> 𝐶𝑚 = 𝑚 / 𝑉 </w:t>
      </w:r>
    </w:p>
    <w:p w14:paraId="6A37D4D5" w14:textId="77777777" w:rsidR="008614F5" w:rsidRDefault="00F33663">
      <w:pPr>
        <w:ind w:left="715" w:right="0"/>
      </w:pPr>
      <w:r>
        <w:rPr>
          <w:b/>
        </w:rPr>
        <w:t xml:space="preserve"> Exemple </w:t>
      </w:r>
      <w:r>
        <w:t xml:space="preserve"> : Si on dissout 50 g de sucre dans 1 L d’eau,  la concentration massique est de 50 g/L. </w:t>
      </w:r>
    </w:p>
    <w:p w14:paraId="7AECED8E" w14:textId="6BFFA67D" w:rsidR="008614F5" w:rsidRDefault="00F33663">
      <w:pPr>
        <w:numPr>
          <w:ilvl w:val="0"/>
          <w:numId w:val="2"/>
        </w:numPr>
        <w:spacing w:after="62" w:line="259" w:lineRule="auto"/>
        <w:ind w:right="0" w:hanging="360"/>
        <w:jc w:val="left"/>
      </w:pPr>
      <w:r>
        <w:rPr>
          <w:b/>
          <w:color w:val="00FF00"/>
        </w:rPr>
        <w:t>Concentration e</w:t>
      </w:r>
      <w:r w:rsidR="00A90921">
        <w:rPr>
          <w:b/>
          <w:color w:val="00FF00"/>
        </w:rPr>
        <w:t>ff</w:t>
      </w:r>
      <w:r>
        <w:rPr>
          <w:b/>
          <w:color w:val="00FF00"/>
        </w:rPr>
        <w:t xml:space="preserve">ective </w:t>
      </w:r>
    </w:p>
    <w:p w14:paraId="6E625C4A" w14:textId="51966C4F" w:rsidR="008614F5" w:rsidRDefault="00F33663">
      <w:pPr>
        <w:ind w:left="715" w:right="0"/>
      </w:pPr>
      <w:r>
        <w:t xml:space="preserve"> </w:t>
      </w:r>
      <w:r w:rsidR="00A90921">
        <w:t>Dans les solutions concentrées</w:t>
      </w:r>
      <w:r>
        <w:t xml:space="preserve">,  les  </w:t>
      </w:r>
      <w:r w:rsidR="00A90921">
        <w:t>interactions entre ions modifient leur comportement</w:t>
      </w:r>
      <w:r>
        <w:t xml:space="preserve">.  </w:t>
      </w:r>
      <w:r w:rsidR="009E6FD1">
        <w:t>La concentration effective tient compte de ces interactions grâce au facteur d’activité</w:t>
      </w:r>
      <w:r>
        <w:t xml:space="preserve">  (γ).  </w:t>
      </w:r>
      <w:r w:rsidR="009E6FD1">
        <w:t>Cela est particulièrement</w:t>
      </w:r>
      <w:r>
        <w:t xml:space="preserve"> important pour des électrolytes forts comme le NaCl. </w:t>
      </w:r>
    </w:p>
    <w:p w14:paraId="4E7B7EE3" w14:textId="77777777" w:rsidR="008614F5" w:rsidRDefault="00F33663">
      <w:pPr>
        <w:numPr>
          <w:ilvl w:val="0"/>
          <w:numId w:val="2"/>
        </w:numPr>
        <w:spacing w:after="62" w:line="259" w:lineRule="auto"/>
        <w:ind w:right="0" w:hanging="360"/>
        <w:jc w:val="left"/>
      </w:pPr>
      <w:r>
        <w:rPr>
          <w:b/>
          <w:color w:val="00FF00"/>
        </w:rPr>
        <w:t xml:space="preserve">Dilution </w:t>
      </w:r>
    </w:p>
    <w:p w14:paraId="72BFBBFA" w14:textId="77777777" w:rsidR="008614F5" w:rsidRDefault="00F33663">
      <w:pPr>
        <w:ind w:left="715" w:right="0"/>
      </w:pPr>
      <w:r>
        <w:t xml:space="preserve"> Pour obtenir une solution moins concentrée à partir d’une solution mère, on utilise la relation : </w:t>
      </w:r>
    </w:p>
    <w:p w14:paraId="409B6D24" w14:textId="77777777" w:rsidR="008614F5" w:rsidRDefault="00F33663">
      <w:pPr>
        <w:spacing w:after="50" w:line="259" w:lineRule="auto"/>
        <w:ind w:left="715" w:right="0"/>
        <w:jc w:val="left"/>
      </w:pPr>
      <w:r>
        <w:rPr>
          <w:rFonts w:ascii="Cambria Math" w:eastAsia="Cambria Math" w:hAnsi="Cambria Math" w:cs="Cambria Math"/>
        </w:rPr>
        <w:t xml:space="preserve"> 𝐹 = 𝐶𝑖 / 𝐶𝑓 = 𝑉𝑓 / 𝑉𝑖 </w:t>
      </w:r>
    </w:p>
    <w:p w14:paraId="25B6D9B8" w14:textId="30E96826" w:rsidR="008614F5" w:rsidRDefault="00F33663">
      <w:pPr>
        <w:spacing w:after="280"/>
        <w:ind w:left="715" w:right="0"/>
      </w:pPr>
      <w:r>
        <w:rPr>
          <w:b/>
        </w:rPr>
        <w:t xml:space="preserve"> Exemple </w:t>
      </w:r>
      <w:r>
        <w:t xml:space="preserve"> :  </w:t>
      </w:r>
      <w:r w:rsidR="009E6FD1">
        <w:t>Diluer 10 mL d’une solution de HCl</w:t>
      </w:r>
      <w:r>
        <w:t xml:space="preserve">  </w:t>
      </w:r>
      <w:r w:rsidR="009E6FD1">
        <w:t>1 mol</w:t>
      </w:r>
      <w:r>
        <w:t>/</w:t>
      </w:r>
      <w:r w:rsidR="009E6FD1">
        <w:t>L dans 100 mL d’eau donne une solution de</w:t>
      </w:r>
      <w:r>
        <w:t xml:space="preserve"> concentration 0,1 mol/L. </w:t>
      </w:r>
    </w:p>
    <w:p w14:paraId="72CB20F0" w14:textId="77777777" w:rsidR="008614F5" w:rsidRDefault="00F33663">
      <w:pPr>
        <w:pStyle w:val="Titre1"/>
        <w:ind w:left="252" w:hanging="267"/>
      </w:pPr>
      <w:r>
        <w:lastRenderedPageBreak/>
        <w:t xml:space="preserve">Solubilité et miscibilité </w:t>
      </w:r>
    </w:p>
    <w:p w14:paraId="75BB80C2" w14:textId="4F794283" w:rsidR="008614F5" w:rsidRDefault="00F33663">
      <w:pPr>
        <w:ind w:right="0"/>
      </w:pPr>
      <w:r>
        <w:t xml:space="preserve"> </w:t>
      </w:r>
      <w:r w:rsidR="009E6FD1">
        <w:t>Ces deux concepts permettent de comprendre comment des substances se mélangent ou se dissolvent dans</w:t>
      </w:r>
      <w:r>
        <w:t xml:space="preserve"> un solvant. </w:t>
      </w:r>
    </w:p>
    <w:p w14:paraId="35479022" w14:textId="77777777" w:rsidR="008614F5" w:rsidRDefault="00F33663">
      <w:pPr>
        <w:numPr>
          <w:ilvl w:val="0"/>
          <w:numId w:val="3"/>
        </w:numPr>
        <w:spacing w:after="62" w:line="259" w:lineRule="auto"/>
        <w:ind w:right="0" w:hanging="109"/>
        <w:jc w:val="left"/>
      </w:pPr>
      <w:r>
        <w:t xml:space="preserve">. </w:t>
      </w:r>
      <w:r>
        <w:rPr>
          <w:b/>
          <w:color w:val="00FF00"/>
        </w:rPr>
        <w:t xml:space="preserve"> Solubilité </w:t>
      </w:r>
    </w:p>
    <w:p w14:paraId="1571335C" w14:textId="52C2B4D3" w:rsidR="008614F5" w:rsidRDefault="00F33663">
      <w:pPr>
        <w:ind w:left="715" w:right="0"/>
      </w:pPr>
      <w:r>
        <w:t xml:space="preserve"> </w:t>
      </w:r>
      <w:r w:rsidR="009E6FD1">
        <w:t>La solubilité est la quantité maximale de soluté pouvant se dissoudre dans un solvant à une température donnée</w:t>
      </w:r>
      <w:r>
        <w:t xml:space="preserve">.  </w:t>
      </w:r>
      <w:r w:rsidR="009E6FD1">
        <w:t>Elle s’exprime en g</w:t>
      </w:r>
      <w:r>
        <w:t>/</w:t>
      </w:r>
      <w:r w:rsidR="009E6FD1">
        <w:t>L ou mol</w:t>
      </w:r>
      <w:r>
        <w:t xml:space="preserve">/L. </w:t>
      </w:r>
      <w:r>
        <w:rPr>
          <w:b/>
        </w:rPr>
        <w:t xml:space="preserve"> Exemple </w:t>
      </w:r>
      <w:r>
        <w:t xml:space="preserve"> :  </w:t>
      </w:r>
      <w:r w:rsidR="009E6FD1">
        <w:t xml:space="preserve">Le chlorure de sodium a </w:t>
      </w:r>
      <w:r>
        <w:t xml:space="preserve">une solubilité de 36 g/100 mL à 20°C dans l’eau. </w:t>
      </w:r>
    </w:p>
    <w:p w14:paraId="32CBFD15" w14:textId="0B36683C" w:rsidR="008614F5" w:rsidRDefault="00F33663">
      <w:pPr>
        <w:numPr>
          <w:ilvl w:val="0"/>
          <w:numId w:val="3"/>
        </w:numPr>
        <w:spacing w:after="62" w:line="259" w:lineRule="auto"/>
        <w:ind w:right="0" w:hanging="109"/>
        <w:jc w:val="left"/>
      </w:pPr>
      <w:r>
        <w:rPr>
          <w:color w:val="00FF00"/>
        </w:rPr>
        <w:t xml:space="preserve">. </w:t>
      </w:r>
      <w:r>
        <w:rPr>
          <w:b/>
          <w:color w:val="00FF00"/>
        </w:rPr>
        <w:t xml:space="preserve"> Facteurs </w:t>
      </w:r>
      <w:r w:rsidR="009E6FD1">
        <w:rPr>
          <w:b/>
          <w:color w:val="00FF00"/>
        </w:rPr>
        <w:t>influençant</w:t>
      </w:r>
      <w:r>
        <w:rPr>
          <w:b/>
          <w:color w:val="00FF00"/>
        </w:rPr>
        <w:t xml:space="preserve"> la solubilité </w:t>
      </w:r>
      <w:r>
        <w:rPr>
          <w:color w:val="00FF00"/>
        </w:rPr>
        <w:t xml:space="preserve">:  </w:t>
      </w:r>
    </w:p>
    <w:p w14:paraId="56B8CBFE" w14:textId="335C496A" w:rsidR="008614F5" w:rsidRDefault="00F33663">
      <w:pPr>
        <w:ind w:left="1440" w:right="0" w:hanging="360"/>
      </w:pPr>
      <w:r>
        <w:rPr>
          <w:rFonts w:ascii="Arial" w:eastAsia="Arial" w:hAnsi="Arial" w:cs="Arial"/>
        </w:rPr>
        <w:t xml:space="preserve"> </w:t>
      </w:r>
      <w:r w:rsidR="009E6FD1">
        <w:rPr>
          <w:rFonts w:ascii="Arial" w:eastAsia="Arial" w:hAnsi="Arial" w:cs="Arial"/>
        </w:rPr>
        <w:t xml:space="preserve">○ </w:t>
      </w:r>
      <w:r w:rsidR="009E6FD1">
        <w:rPr>
          <w:b/>
        </w:rPr>
        <w:t>Température</w:t>
      </w:r>
      <w:r>
        <w:rPr>
          <w:b/>
        </w:rPr>
        <w:t xml:space="preserve"> </w:t>
      </w:r>
      <w:r>
        <w:t xml:space="preserve">:   </w:t>
      </w:r>
      <w:r w:rsidR="009E6FD1">
        <w:t>La solubilité des solides augmente généralement avec la température</w:t>
      </w:r>
      <w:r>
        <w:t xml:space="preserve">,  tandis que celle des gaz diminue. </w:t>
      </w:r>
    </w:p>
    <w:p w14:paraId="0A76C66A" w14:textId="2CD60DFE" w:rsidR="008614F5" w:rsidRDefault="00F33663">
      <w:pPr>
        <w:ind w:left="1440" w:right="0" w:hanging="360"/>
      </w:pPr>
      <w:r>
        <w:rPr>
          <w:rFonts w:ascii="Arial" w:eastAsia="Arial" w:hAnsi="Arial" w:cs="Arial"/>
        </w:rPr>
        <w:t xml:space="preserve"> </w:t>
      </w:r>
      <w:r w:rsidR="009E6FD1">
        <w:rPr>
          <w:rFonts w:ascii="Arial" w:eastAsia="Arial" w:hAnsi="Arial" w:cs="Arial"/>
        </w:rPr>
        <w:t xml:space="preserve">○ </w:t>
      </w:r>
      <w:r w:rsidR="009E6FD1">
        <w:rPr>
          <w:b/>
        </w:rPr>
        <w:t>Pression</w:t>
      </w:r>
      <w:r>
        <w:rPr>
          <w:b/>
        </w:rPr>
        <w:t xml:space="preserve"> </w:t>
      </w:r>
      <w:r>
        <w:t xml:space="preserve">:   </w:t>
      </w:r>
      <w:r w:rsidR="009E6FD1">
        <w:t>Selon la loi de Henry</w:t>
      </w:r>
      <w:r>
        <w:t xml:space="preserve">,  la  </w:t>
      </w:r>
      <w:r w:rsidR="009E6FD1">
        <w:t>solubilité des gaz dans les liquides est proportionnelle</w:t>
      </w:r>
      <w:r>
        <w:t xml:space="preserve"> à la pression partielle du gaz. </w:t>
      </w:r>
    </w:p>
    <w:p w14:paraId="09A67CA5" w14:textId="6365F28A" w:rsidR="008614F5" w:rsidRDefault="00F33663">
      <w:pPr>
        <w:ind w:left="1440" w:right="0" w:hanging="360"/>
      </w:pPr>
      <w:r>
        <w:rPr>
          <w:rFonts w:ascii="Arial" w:eastAsia="Arial" w:hAnsi="Arial" w:cs="Arial"/>
        </w:rPr>
        <w:t xml:space="preserve"> </w:t>
      </w:r>
      <w:r w:rsidR="009E6FD1">
        <w:rPr>
          <w:rFonts w:ascii="Arial" w:eastAsia="Arial" w:hAnsi="Arial" w:cs="Arial"/>
        </w:rPr>
        <w:t xml:space="preserve">○ </w:t>
      </w:r>
      <w:r w:rsidR="009E6FD1">
        <w:rPr>
          <w:b/>
        </w:rPr>
        <w:t>Nature du solvant</w:t>
      </w:r>
      <w:r>
        <w:rPr>
          <w:b/>
        </w:rPr>
        <w:t xml:space="preserve"> </w:t>
      </w:r>
      <w:r>
        <w:t xml:space="preserve"> :  </w:t>
      </w:r>
      <w:r w:rsidR="009E6FD1">
        <w:t>La polarité du solvant influence la solubilité</w:t>
      </w:r>
      <w:r>
        <w:t xml:space="preserve">  (ex.  :  </w:t>
      </w:r>
      <w:r w:rsidR="009E6FD1">
        <w:t>l’eau dissout bien les</w:t>
      </w:r>
      <w:r>
        <w:t xml:space="preserve"> composés ioniques grâce à ses dipôles). </w:t>
      </w:r>
    </w:p>
    <w:p w14:paraId="530878E4" w14:textId="77777777" w:rsidR="008614F5" w:rsidRDefault="00F33663">
      <w:pPr>
        <w:numPr>
          <w:ilvl w:val="0"/>
          <w:numId w:val="3"/>
        </w:numPr>
        <w:spacing w:after="62" w:line="259" w:lineRule="auto"/>
        <w:ind w:right="0" w:hanging="109"/>
        <w:jc w:val="left"/>
      </w:pPr>
      <w:r>
        <w:t xml:space="preserve">. </w:t>
      </w:r>
      <w:r>
        <w:rPr>
          <w:b/>
          <w:color w:val="00FF00"/>
        </w:rPr>
        <w:t xml:space="preserve"> Miscibilité </w:t>
      </w:r>
    </w:p>
    <w:p w14:paraId="0712B074" w14:textId="77777777" w:rsidR="008614F5" w:rsidRDefault="00F33663">
      <w:pPr>
        <w:ind w:left="715" w:right="0"/>
      </w:pPr>
      <w:r>
        <w:t xml:space="preserve"> La miscibilité désigne la capacité de deux liquides à se mélanger de manière homogène. </w:t>
      </w:r>
    </w:p>
    <w:p w14:paraId="7307FBA6" w14:textId="77777777" w:rsidR="008614F5" w:rsidRDefault="00F33663">
      <w:pPr>
        <w:numPr>
          <w:ilvl w:val="0"/>
          <w:numId w:val="4"/>
        </w:numPr>
        <w:ind w:right="0" w:hanging="360"/>
      </w:pPr>
      <w:r>
        <w:rPr>
          <w:b/>
        </w:rPr>
        <w:t xml:space="preserve">Exemple </w:t>
      </w:r>
      <w:r>
        <w:t xml:space="preserve">:  L’eau et l’éthanol sont miscibles, contrairement à l’eau et l’huile. </w:t>
      </w:r>
    </w:p>
    <w:p w14:paraId="144E0146" w14:textId="77777777" w:rsidR="008614F5" w:rsidRDefault="00F33663">
      <w:pPr>
        <w:numPr>
          <w:ilvl w:val="0"/>
          <w:numId w:val="4"/>
        </w:numPr>
        <w:spacing w:after="284"/>
        <w:ind w:right="0" w:hanging="360"/>
      </w:pPr>
      <w:r>
        <w:t xml:space="preserve">Cela s’explique par les interactions intermoléculaires (hydrophiles ou hydrophobes). </w:t>
      </w:r>
    </w:p>
    <w:p w14:paraId="0F93988C" w14:textId="77777777" w:rsidR="008614F5" w:rsidRDefault="00F33663">
      <w:pPr>
        <w:pStyle w:val="Titre1"/>
        <w:ind w:left="332" w:hanging="347"/>
      </w:pPr>
      <w:r>
        <w:t xml:space="preserve">Applications et enjeux pratiques </w:t>
      </w:r>
    </w:p>
    <w:p w14:paraId="2C4FFC97" w14:textId="77777777" w:rsidR="008614F5" w:rsidRDefault="00F33663">
      <w:pPr>
        <w:numPr>
          <w:ilvl w:val="0"/>
          <w:numId w:val="5"/>
        </w:numPr>
        <w:spacing w:after="62" w:line="259" w:lineRule="auto"/>
        <w:ind w:right="0" w:hanging="109"/>
        <w:jc w:val="left"/>
      </w:pPr>
      <w:r>
        <w:t xml:space="preserve">. </w:t>
      </w:r>
      <w:r>
        <w:rPr>
          <w:b/>
          <w:color w:val="00FF00"/>
        </w:rPr>
        <w:t xml:space="preserve"> Biologie et médecine </w:t>
      </w:r>
    </w:p>
    <w:p w14:paraId="1399FC82" w14:textId="0A91E92C" w:rsidR="008614F5" w:rsidRDefault="00F33663">
      <w:pPr>
        <w:ind w:left="715" w:right="0"/>
      </w:pPr>
      <w:r>
        <w:t xml:space="preserve"> </w:t>
      </w:r>
      <w:r w:rsidR="009E6FD1">
        <w:t>La solubilité est cruciale pour le transport des gaz dans le sang</w:t>
      </w:r>
      <w:r>
        <w:t xml:space="preserve">.  </w:t>
      </w:r>
      <w:r w:rsidR="009E6FD1">
        <w:t>Par exemple</w:t>
      </w:r>
      <w:r>
        <w:t xml:space="preserve">,  le  </w:t>
      </w:r>
      <w:r w:rsidR="009E6FD1">
        <w:t>dioxyde de carbone est dissous dans le plasma selon sa solubilité</w:t>
      </w:r>
      <w:r>
        <w:t xml:space="preserve">.  </w:t>
      </w:r>
      <w:r w:rsidR="009E6FD1">
        <w:t>De même</w:t>
      </w:r>
      <w:r>
        <w:t xml:space="preserve">,  la  </w:t>
      </w:r>
      <w:r w:rsidR="009E6FD1">
        <w:t>biodisponibilité des médicaments</w:t>
      </w:r>
      <w:r>
        <w:t xml:space="preserve"> dépend de leur capacité à se dissoudre dans l’organisme. </w:t>
      </w:r>
    </w:p>
    <w:p w14:paraId="1578BDED" w14:textId="77777777" w:rsidR="008614F5" w:rsidRDefault="00F33663">
      <w:pPr>
        <w:numPr>
          <w:ilvl w:val="0"/>
          <w:numId w:val="5"/>
        </w:numPr>
        <w:spacing w:after="62" w:line="259" w:lineRule="auto"/>
        <w:ind w:right="0" w:hanging="109"/>
        <w:jc w:val="left"/>
      </w:pPr>
      <w:r>
        <w:rPr>
          <w:color w:val="00FF00"/>
        </w:rPr>
        <w:t xml:space="preserve">. </w:t>
      </w:r>
      <w:r>
        <w:rPr>
          <w:b/>
          <w:color w:val="00FF00"/>
        </w:rPr>
        <w:t xml:space="preserve"> Dans l’industrie chimique </w:t>
      </w:r>
    </w:p>
    <w:p w14:paraId="541AF780" w14:textId="10F310AC" w:rsidR="008614F5" w:rsidRDefault="00F33663">
      <w:pPr>
        <w:ind w:left="1440" w:right="0" w:hanging="360"/>
      </w:pPr>
      <w:r>
        <w:rPr>
          <w:rFonts w:ascii="Arial" w:eastAsia="Arial" w:hAnsi="Arial" w:cs="Arial"/>
        </w:rPr>
        <w:t xml:space="preserve"> </w:t>
      </w:r>
      <w:r w:rsidR="009E6FD1">
        <w:rPr>
          <w:rFonts w:ascii="Arial" w:eastAsia="Arial" w:hAnsi="Arial" w:cs="Arial"/>
        </w:rPr>
        <w:t xml:space="preserve">○ </w:t>
      </w:r>
      <w:r w:rsidR="009E6FD1">
        <w:rPr>
          <w:b/>
        </w:rPr>
        <w:t>Solutions tampons</w:t>
      </w:r>
      <w:r>
        <w:rPr>
          <w:b/>
        </w:rPr>
        <w:t xml:space="preserve"> </w:t>
      </w:r>
      <w:r>
        <w:t xml:space="preserve"> :  </w:t>
      </w:r>
      <w:r w:rsidR="009E6FD1">
        <w:t>Elles maintiennent le pH</w:t>
      </w:r>
      <w:r>
        <w:t xml:space="preserve"> dans   </w:t>
      </w:r>
      <w:r w:rsidR="009E6FD1">
        <w:t>des processus</w:t>
      </w:r>
      <w:r>
        <w:t xml:space="preserve"> industriels   sensibles,  comme la fabrication de médicaments. </w:t>
      </w:r>
    </w:p>
    <w:p w14:paraId="2995D181" w14:textId="7DE5A7B2" w:rsidR="008614F5" w:rsidRDefault="00F33663">
      <w:pPr>
        <w:ind w:left="1440" w:right="0" w:hanging="360"/>
      </w:pPr>
      <w:r>
        <w:rPr>
          <w:rFonts w:ascii="Arial" w:eastAsia="Arial" w:hAnsi="Arial" w:cs="Arial"/>
        </w:rPr>
        <w:t xml:space="preserve"> </w:t>
      </w:r>
      <w:r w:rsidR="009E6FD1">
        <w:rPr>
          <w:rFonts w:ascii="Arial" w:eastAsia="Arial" w:hAnsi="Arial" w:cs="Arial"/>
        </w:rPr>
        <w:t xml:space="preserve">○ </w:t>
      </w:r>
      <w:r w:rsidR="009E6FD1">
        <w:rPr>
          <w:b/>
        </w:rPr>
        <w:t>Précipitations contrôlées</w:t>
      </w:r>
      <w:r>
        <w:rPr>
          <w:b/>
        </w:rPr>
        <w:t xml:space="preserve"> </w:t>
      </w:r>
      <w:r>
        <w:t xml:space="preserve"> :  </w:t>
      </w:r>
      <w:r w:rsidR="009E6FD1">
        <w:t>Utilisation du produit de solubilité pour extraire des composés</w:t>
      </w:r>
      <w:r>
        <w:t xml:space="preserve"> </w:t>
      </w:r>
      <w:r w:rsidR="009E6FD1">
        <w:t>spécifi</w:t>
      </w:r>
      <w:r>
        <w:t xml:space="preserve">ques. </w:t>
      </w:r>
    </w:p>
    <w:p w14:paraId="7392F9D5" w14:textId="77777777" w:rsidR="008614F5" w:rsidRDefault="00F33663">
      <w:pPr>
        <w:spacing w:after="62" w:line="259" w:lineRule="auto"/>
        <w:ind w:left="355" w:right="0"/>
        <w:jc w:val="left"/>
      </w:pPr>
      <w:r>
        <w:rPr>
          <w:color w:val="00FF00"/>
        </w:rPr>
        <w:t xml:space="preserve"> 3. </w:t>
      </w:r>
      <w:r>
        <w:rPr>
          <w:b/>
          <w:color w:val="00FF00"/>
        </w:rPr>
        <w:t xml:space="preserve"> Environnement et écologie </w:t>
      </w:r>
    </w:p>
    <w:p w14:paraId="68875484" w14:textId="05522150" w:rsidR="008614F5" w:rsidRDefault="00F33663">
      <w:pPr>
        <w:ind w:left="1440" w:right="0" w:hanging="360"/>
      </w:pPr>
      <w:r>
        <w:rPr>
          <w:rFonts w:ascii="Arial" w:eastAsia="Arial" w:hAnsi="Arial" w:cs="Arial"/>
        </w:rPr>
        <w:t xml:space="preserve"> </w:t>
      </w:r>
      <w:r w:rsidR="009E6FD1">
        <w:rPr>
          <w:rFonts w:ascii="Arial" w:eastAsia="Arial" w:hAnsi="Arial" w:cs="Arial"/>
        </w:rPr>
        <w:t xml:space="preserve">○ </w:t>
      </w:r>
      <w:r w:rsidR="009E6FD1">
        <w:t>Les notions de solubilité et de miscibilité sont essentielles pour traiter les pollutions aquatiques</w:t>
      </w:r>
      <w:r>
        <w:t xml:space="preserve"> (ex. : dissolution des hydrocarbures). </w:t>
      </w:r>
    </w:p>
    <w:p w14:paraId="2AC23AC6" w14:textId="4F554FDD" w:rsidR="008614F5" w:rsidRDefault="00F33663">
      <w:pPr>
        <w:spacing w:after="240"/>
        <w:ind w:left="1440" w:right="0" w:hanging="360"/>
      </w:pPr>
      <w:r>
        <w:rPr>
          <w:rFonts w:ascii="Arial" w:eastAsia="Arial" w:hAnsi="Arial" w:cs="Arial"/>
        </w:rPr>
        <w:t xml:space="preserve">○  </w:t>
      </w:r>
      <w:r>
        <w:t xml:space="preserve"> </w:t>
      </w:r>
      <w:r w:rsidR="009E6FD1">
        <w:t>Elles sont aussi utilisées dans la conception de produits détergents qui</w:t>
      </w:r>
      <w:r>
        <w:t xml:space="preserve"> améliorent   </w:t>
      </w:r>
      <w:r w:rsidR="009E6FD1">
        <w:t>la dispersion</w:t>
      </w:r>
      <w:r>
        <w:t xml:space="preserve"> des substances peu solubles. </w:t>
      </w:r>
    </w:p>
    <w:p w14:paraId="78558A34" w14:textId="77777777" w:rsidR="008614F5" w:rsidRDefault="00F33663">
      <w:pPr>
        <w:pStyle w:val="Titre1"/>
        <w:numPr>
          <w:ilvl w:val="0"/>
          <w:numId w:val="0"/>
        </w:numPr>
        <w:ind w:left="-5"/>
      </w:pPr>
      <w:r>
        <w:t xml:space="preserve"> Conclusion </w:t>
      </w:r>
    </w:p>
    <w:p w14:paraId="04A3E9A6" w14:textId="5625582A" w:rsidR="008614F5" w:rsidRDefault="00F33663">
      <w:pPr>
        <w:spacing w:after="240"/>
        <w:ind w:right="0"/>
      </w:pPr>
      <w:r>
        <w:t xml:space="preserve"> In fine,  la  concentration,  la  solubilité et la miscibilité sont fondamentales pour comprendre les solutions en chimie.  Elles trouvent des applications multiples,  que  ce soit en biologie,  en  industrie ou en environnement. </w:t>
      </w:r>
    </w:p>
    <w:p w14:paraId="1F47496B" w14:textId="41E9F09A" w:rsidR="008614F5" w:rsidRDefault="00F33663">
      <w:pPr>
        <w:ind w:right="0"/>
      </w:pPr>
      <w:r>
        <w:rPr>
          <w:b/>
        </w:rPr>
        <w:lastRenderedPageBreak/>
        <w:t xml:space="preserve"> Ouverture </w:t>
      </w:r>
      <w:r>
        <w:t xml:space="preserve"> :  Les avancées dans les nanotechnologies permettent d’exploiter ces propriétés pour développer de nouveaux matériaux ou pour améliorer la solubilité de médicaments peu efficaces à l’état brut. </w:t>
      </w:r>
    </w:p>
    <w:sectPr w:rsidR="008614F5">
      <w:pgSz w:w="11918" w:h="16858"/>
      <w:pgMar w:top="1440" w:right="1453" w:bottom="16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CC1"/>
    <w:multiLevelType w:val="hybridMultilevel"/>
    <w:tmpl w:val="A6C420A6"/>
    <w:lvl w:ilvl="0" w:tplc="06B47D6C">
      <w:start w:val="1"/>
      <w:numFmt w:val="decimal"/>
      <w:lvlText w:val="%1"/>
      <w:lvlJc w:val="left"/>
      <w:pPr>
        <w:ind w:left="4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06633A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ED02C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09058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8320A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F0AB4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0191A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689E4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940BFE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2322D"/>
    <w:multiLevelType w:val="hybridMultilevel"/>
    <w:tmpl w:val="6D5E30CE"/>
    <w:lvl w:ilvl="0" w:tplc="C3E49598">
      <w:start w:val="1"/>
      <w:numFmt w:val="decimal"/>
      <w:lvlText w:val="%1"/>
      <w:lvlJc w:val="left"/>
      <w:pPr>
        <w:ind w:left="4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A2BB8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665A6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84D74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A8F4A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8D6AA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AD472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210BA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49640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43647"/>
    <w:multiLevelType w:val="hybridMultilevel"/>
    <w:tmpl w:val="03146D88"/>
    <w:lvl w:ilvl="0" w:tplc="5FD283BC">
      <w:start w:val="1"/>
      <w:numFmt w:val="upperRoman"/>
      <w:pStyle w:val="Titre1"/>
      <w:lvlText w:val="%1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62617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A033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8074D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86197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2BD0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F2A91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E87E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80A7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CD6DFF"/>
    <w:multiLevelType w:val="hybridMultilevel"/>
    <w:tmpl w:val="48C643D4"/>
    <w:lvl w:ilvl="0" w:tplc="8C86911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E1F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4A2B4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4D1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035E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0C9E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8FD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6D7E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04F5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B44F12"/>
    <w:multiLevelType w:val="hybridMultilevel"/>
    <w:tmpl w:val="64348CE2"/>
    <w:lvl w:ilvl="0" w:tplc="58E847B0">
      <w:start w:val="1"/>
      <w:numFmt w:val="decimal"/>
      <w:lvlText w:val="%1"/>
      <w:lvlJc w:val="left"/>
      <w:pPr>
        <w:ind w:left="4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2B7F2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96B30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AFF1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C04FC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12DBF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2669F2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A4F78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A7C90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C36BB3"/>
    <w:multiLevelType w:val="hybridMultilevel"/>
    <w:tmpl w:val="08029B20"/>
    <w:lvl w:ilvl="0" w:tplc="C8202276">
      <w:start w:val="3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4EBBA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A9694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691FA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61694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E46E0C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4923E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BA1916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EC50E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8641406">
    <w:abstractNumId w:val="4"/>
  </w:num>
  <w:num w:numId="2" w16cid:durableId="2132672886">
    <w:abstractNumId w:val="5"/>
  </w:num>
  <w:num w:numId="3" w16cid:durableId="295842001">
    <w:abstractNumId w:val="0"/>
  </w:num>
  <w:num w:numId="4" w16cid:durableId="251361014">
    <w:abstractNumId w:val="3"/>
  </w:num>
  <w:num w:numId="5" w16cid:durableId="1344361403">
    <w:abstractNumId w:val="1"/>
  </w:num>
  <w:num w:numId="6" w16cid:durableId="273173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F5"/>
    <w:rsid w:val="008614F5"/>
    <w:rsid w:val="009E6FD1"/>
    <w:rsid w:val="00A736DB"/>
    <w:rsid w:val="00A90921"/>
    <w:rsid w:val="00E34D38"/>
    <w:rsid w:val="00E7355C"/>
    <w:rsid w:val="00EE40E1"/>
    <w:rsid w:val="00F33663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2486"/>
  <w15:docId w15:val="{D4FAADE1-E32F-4046-A247-EA3B80FB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18" w:lineRule="auto"/>
      <w:ind w:left="10" w:right="1" w:hanging="10"/>
      <w:jc w:val="both"/>
    </w:pPr>
    <w:rPr>
      <w:rFonts w:ascii="Garamond" w:eastAsia="Garamond" w:hAnsi="Garamond" w:cs="Garamond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6"/>
      </w:numPr>
      <w:spacing w:after="301"/>
      <w:ind w:left="97" w:hanging="10"/>
      <w:outlineLvl w:val="0"/>
    </w:pPr>
    <w:rPr>
      <w:rFonts w:ascii="Garamond" w:eastAsia="Garamond" w:hAnsi="Garamond" w:cs="Garamond"/>
      <w:b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Noel : Physique-chimie - Google Docs</dc:title>
  <dc:subject/>
  <dc:creator>marc brunet</dc:creator>
  <cp:keywords/>
  <cp:lastModifiedBy>marc brunet</cp:lastModifiedBy>
  <cp:revision>7</cp:revision>
  <dcterms:created xsi:type="dcterms:W3CDTF">2024-11-24T14:47:00Z</dcterms:created>
  <dcterms:modified xsi:type="dcterms:W3CDTF">2024-11-24T15:07:00Z</dcterms:modified>
</cp:coreProperties>
</file>