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ECA33" w14:textId="0F864CED" w:rsidR="00C03406" w:rsidRDefault="00C03406">
      <w:r>
        <w:t>Couleur d’une solution / Loi de Be</w:t>
      </w:r>
      <w:r w:rsidR="00AB2946">
        <w:t>e</w:t>
      </w:r>
      <w:r>
        <w:t>r</w:t>
      </w:r>
      <w:r w:rsidR="00AB2946">
        <w:t xml:space="preserve"> –</w:t>
      </w:r>
      <w:r>
        <w:t xml:space="preserve"> Lambert</w:t>
      </w:r>
    </w:p>
    <w:p w14:paraId="1679C329" w14:textId="4979F6CC" w:rsidR="00C03406" w:rsidRDefault="00C03406">
      <w:r>
        <w:t>Intro</w:t>
      </w:r>
    </w:p>
    <w:p w14:paraId="1EF56C45" w14:textId="2EA462BD" w:rsidR="00C03406" w:rsidRDefault="00C03406">
      <w:r>
        <w:t>Le but de la chimie et l’analyse du monde et de ses composants. Dès lors nous pouvons nous demander s’il est possible de caractériser une solution par sa couleur.</w:t>
      </w:r>
    </w:p>
    <w:p w14:paraId="15DCA8A8" w14:textId="293D87DA" w:rsidR="00C03406" w:rsidRDefault="00C03406">
      <w:r>
        <w:t>I – La couleur d’une solution</w:t>
      </w:r>
    </w:p>
    <w:p w14:paraId="704D83C1" w14:textId="16244CC9" w:rsidR="00AB2946" w:rsidRDefault="00AB2946">
      <w:r>
        <w:t>A – Les colorants</w:t>
      </w:r>
    </w:p>
    <w:p w14:paraId="4AC74D07" w14:textId="2ED37AEA" w:rsidR="00AB2946" w:rsidRDefault="00AB2946" w:rsidP="00AB2946">
      <w:pPr>
        <w:pStyle w:val="Paragraphedeliste"/>
        <w:numPr>
          <w:ilvl w:val="0"/>
          <w:numId w:val="1"/>
        </w:numPr>
      </w:pPr>
      <w:r>
        <w:t>Souvent des grosses molécules comme le bleu FCF (TP power rade : 729.8g/mol)</w:t>
      </w:r>
    </w:p>
    <w:p w14:paraId="0168B9C9" w14:textId="00EFD4B0" w:rsidR="00AB2946" w:rsidRDefault="0030398E" w:rsidP="00AB2946">
      <w:pPr>
        <w:pStyle w:val="Paragraphedeliste"/>
        <w:numPr>
          <w:ilvl w:val="0"/>
          <w:numId w:val="1"/>
        </w:numPr>
      </w:pPr>
      <w:r>
        <w:t>Lorsqu’un</w:t>
      </w:r>
      <w:r w:rsidR="00AB2946">
        <w:t xml:space="preserve"> photon vient frapper un </w:t>
      </w:r>
      <w:r>
        <w:t>électron</w:t>
      </w:r>
      <w:r w:rsidR="00AB2946">
        <w:t>, si le niveau d’</w:t>
      </w:r>
      <w:r>
        <w:t>énergie</w:t>
      </w:r>
      <w:r w:rsidR="00AB2946">
        <w:t xml:space="preserve"> du photon correspond au niveau </w:t>
      </w:r>
      <w:r>
        <w:t>d’énergie</w:t>
      </w:r>
      <w:r w:rsidR="00AB2946">
        <w:t xml:space="preserve"> dont l’</w:t>
      </w:r>
      <w:r>
        <w:t>électron</w:t>
      </w:r>
      <w:r w:rsidR="00AB2946">
        <w:t xml:space="preserve"> a besoin, alors le photon est absorbé et il y a un pic d’absorbance.</w:t>
      </w:r>
    </w:p>
    <w:p w14:paraId="06B507CD" w14:textId="0239F811" w:rsidR="00AB2946" w:rsidRDefault="00AB2946" w:rsidP="00AB2946">
      <w:r>
        <w:t>B – L’absorbance</w:t>
      </w:r>
    </w:p>
    <w:p w14:paraId="35694BD5" w14:textId="0E8FE11D" w:rsidR="0030398E" w:rsidRDefault="0030398E" w:rsidP="0030398E">
      <w:pPr>
        <w:pStyle w:val="Paragraphedeliste"/>
        <w:numPr>
          <w:ilvl w:val="0"/>
          <w:numId w:val="2"/>
        </w:numPr>
      </w:pPr>
      <w:r>
        <w:t>La couleur est composée de raies, lorsqu’une lumière passe à travers un milieu transparent, celui-ci peut absorber certaines longueurs d’onde. On peut donc mesurer l’absorbance d’un matériau pour une longueur d’onde.</w:t>
      </w:r>
    </w:p>
    <w:p w14:paraId="0AEB8709" w14:textId="3B9D3D64" w:rsidR="0030398E" w:rsidRDefault="0030398E" w:rsidP="0030398E">
      <w:pPr>
        <w:pStyle w:val="Paragraphedeliste"/>
        <w:numPr>
          <w:ilvl w:val="0"/>
          <w:numId w:val="2"/>
        </w:numPr>
      </w:pPr>
      <w:r>
        <w:t>L’absorbance est égale à -log10(t)</w:t>
      </w:r>
    </w:p>
    <w:p w14:paraId="2525F10D" w14:textId="3161B151" w:rsidR="0030398E" w:rsidRDefault="0030398E" w:rsidP="0030398E">
      <w:pPr>
        <w:pStyle w:val="Paragraphedeliste"/>
        <w:numPr>
          <w:ilvl w:val="0"/>
          <w:numId w:val="2"/>
        </w:numPr>
      </w:pPr>
      <w:r>
        <w:t>L’absorbance varie en fonction de la concentration</w:t>
      </w:r>
    </w:p>
    <w:p w14:paraId="4809E34E" w14:textId="7F5C10E5" w:rsidR="00AB2946" w:rsidRDefault="00AB2946" w:rsidP="00AB2946">
      <w:r>
        <w:t>C – La spectrophotométrie</w:t>
      </w:r>
    </w:p>
    <w:p w14:paraId="1BCC7361" w14:textId="3F3DF2A3" w:rsidR="0030398E" w:rsidRDefault="0030398E" w:rsidP="0030398E">
      <w:pPr>
        <w:pStyle w:val="Paragraphedeliste"/>
        <w:numPr>
          <w:ilvl w:val="0"/>
          <w:numId w:val="3"/>
        </w:numPr>
      </w:pPr>
      <w:r>
        <w:t xml:space="preserve">Un appareil peut </w:t>
      </w:r>
      <w:r w:rsidR="009563BF">
        <w:t>mesurer la présence où l’absence de certaines longueurs d’ondes dans une lumière : le spectrophotomètre.</w:t>
      </w:r>
    </w:p>
    <w:p w14:paraId="72E0EBC0" w14:textId="5721444A" w:rsidR="009563BF" w:rsidRDefault="009563BF" w:rsidP="0030398E">
      <w:pPr>
        <w:pStyle w:val="Paragraphedeliste"/>
        <w:numPr>
          <w:ilvl w:val="0"/>
          <w:numId w:val="3"/>
        </w:numPr>
      </w:pPr>
      <w:r>
        <w:t>Le résultat est une courbe montrant l’absorbance pour chaque longueur d’onde, souvent des UV aux IR</w:t>
      </w:r>
    </w:p>
    <w:p w14:paraId="36CFA7BB" w14:textId="1EB7F99D" w:rsidR="009563BF" w:rsidRDefault="009563BF" w:rsidP="0030398E">
      <w:pPr>
        <w:pStyle w:val="Paragraphedeliste"/>
        <w:numPr>
          <w:ilvl w:val="0"/>
          <w:numId w:val="3"/>
        </w:numPr>
      </w:pPr>
      <w:r>
        <w:t>La spectrophotométrie peut également se faire à l’œil nu avec un réseau ou un prisme, mais l’œil ne détecte que la lumière visible et les mesures de longueur d’onde ne seront pas très précise</w:t>
      </w:r>
    </w:p>
    <w:p w14:paraId="68904FAE" w14:textId="1E51A616" w:rsidR="00AB2946" w:rsidRDefault="00AB2946" w:rsidP="00AB2946">
      <w:r>
        <w:t>II – La loi de Beer-Lambert</w:t>
      </w:r>
    </w:p>
    <w:p w14:paraId="2EBD5BCF" w14:textId="4C429431" w:rsidR="00AB2946" w:rsidRDefault="00AB2946" w:rsidP="00AB2946">
      <w:r>
        <w:t xml:space="preserve">A - énoncé </w:t>
      </w:r>
    </w:p>
    <w:p w14:paraId="102D11C4" w14:textId="33B5691C" w:rsidR="009563BF" w:rsidRDefault="008A4293" w:rsidP="009563BF">
      <w:pPr>
        <w:pStyle w:val="Paragraphedeliste"/>
        <w:numPr>
          <w:ilvl w:val="0"/>
          <w:numId w:val="5"/>
        </w:numPr>
      </w:pPr>
      <m:oMath>
        <m:r>
          <w:rPr>
            <w:rFonts w:ascii="Cambria Math" w:hAnsi="Cambria Math"/>
          </w:rPr>
          <m:t>A= 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  <m:r>
          <w:rPr>
            <w:rFonts w:ascii="Cambria Math" w:hAnsi="Cambria Math"/>
          </w:rPr>
          <m:t>*l*C</m:t>
        </m:r>
      </m:oMath>
    </w:p>
    <w:p w14:paraId="6CF27A67" w14:textId="27662564" w:rsidR="00AB2946" w:rsidRDefault="00AB2946" w:rsidP="00AB2946">
      <w:r>
        <w:t>B – cadre de la loi</w:t>
      </w:r>
    </w:p>
    <w:p w14:paraId="26903520" w14:textId="48424222" w:rsidR="008A4293" w:rsidRPr="008A4293" w:rsidRDefault="008A4293" w:rsidP="008A4293">
      <w:pPr>
        <w:pStyle w:val="Paragraphedeliste"/>
        <w:numPr>
          <w:ilvl w:val="0"/>
          <w:numId w:val="5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</m:oMath>
      <w:r>
        <w:rPr>
          <w:rFonts w:eastAsiaTheme="minorEastAsia"/>
        </w:rPr>
        <w:t xml:space="preserve"> = Le coefficient d’extinction molaire</w:t>
      </w:r>
    </w:p>
    <w:p w14:paraId="3A145D4C" w14:textId="66418792" w:rsidR="008A4293" w:rsidRDefault="008A4293" w:rsidP="008A4293">
      <w:pPr>
        <w:pStyle w:val="Paragraphedeliste"/>
        <w:numPr>
          <w:ilvl w:val="1"/>
          <w:numId w:val="5"/>
        </w:numPr>
      </w:pPr>
      <w:r>
        <w:t>Varie avec</w:t>
      </w:r>
    </w:p>
    <w:p w14:paraId="2720B0C2" w14:textId="60EEBCB5" w:rsidR="008A4293" w:rsidRDefault="00501908" w:rsidP="008A4293">
      <w:pPr>
        <w:pStyle w:val="Paragraphedeliste"/>
        <w:numPr>
          <w:ilvl w:val="2"/>
          <w:numId w:val="5"/>
        </w:numPr>
      </w:pPr>
      <w:r>
        <w:t>L</w:t>
      </w:r>
      <w:r w:rsidR="008A4293">
        <w:t>a nature de l’espèce colorante</w:t>
      </w:r>
    </w:p>
    <w:p w14:paraId="2E75C52C" w14:textId="098616C1" w:rsidR="008A4293" w:rsidRDefault="00501908" w:rsidP="008A4293">
      <w:pPr>
        <w:pStyle w:val="Paragraphedeliste"/>
        <w:numPr>
          <w:ilvl w:val="2"/>
          <w:numId w:val="5"/>
        </w:numPr>
      </w:pPr>
      <w:r>
        <w:t>L</w:t>
      </w:r>
      <w:r w:rsidR="008A4293">
        <w:t>a longueur d’onde de la radiation étudié</w:t>
      </w:r>
    </w:p>
    <w:p w14:paraId="5C14B4CB" w14:textId="09E5B595" w:rsidR="008A4293" w:rsidRPr="008A4293" w:rsidRDefault="00501908" w:rsidP="008A4293">
      <w:pPr>
        <w:pStyle w:val="Paragraphedeliste"/>
        <w:numPr>
          <w:ilvl w:val="2"/>
          <w:numId w:val="5"/>
        </w:numPr>
      </w:pPr>
      <w:r>
        <w:t>L</w:t>
      </w:r>
      <w:r w:rsidR="008A4293">
        <w:t>a température</w:t>
      </w:r>
    </w:p>
    <w:p w14:paraId="7D8A3963" w14:textId="313FA24F" w:rsidR="008A4293" w:rsidRPr="008A4293" w:rsidRDefault="008A4293" w:rsidP="008A4293">
      <w:pPr>
        <w:pStyle w:val="Paragraphedeliste"/>
        <w:numPr>
          <w:ilvl w:val="0"/>
          <w:numId w:val="5"/>
        </w:numPr>
      </w:pPr>
      <m:oMath>
        <m:r>
          <w:rPr>
            <w:rFonts w:ascii="Cambria Math" w:hAnsi="Cambria Math"/>
          </w:rPr>
          <m:t xml:space="preserve">l  </m:t>
        </m:r>
      </m:oMath>
      <w:r>
        <w:rPr>
          <w:rFonts w:eastAsiaTheme="minorEastAsia"/>
        </w:rPr>
        <w:t xml:space="preserve">= La distance parcourut dans le milieu </w:t>
      </w:r>
    </w:p>
    <w:p w14:paraId="1CA7D166" w14:textId="745BE46F" w:rsidR="008A4293" w:rsidRDefault="008A4293" w:rsidP="008A4293">
      <w:pPr>
        <w:pStyle w:val="Paragraphedeliste"/>
        <w:numPr>
          <w:ilvl w:val="0"/>
          <w:numId w:val="5"/>
        </w:numPr>
      </w:pPr>
      <m:oMath>
        <m:r>
          <w:rPr>
            <w:rFonts w:ascii="Cambria Math" w:hAnsi="Cambria Math"/>
          </w:rPr>
          <m:t xml:space="preserve">C </m:t>
        </m:r>
      </m:oMath>
      <w:r>
        <w:rPr>
          <w:rFonts w:eastAsiaTheme="minorEastAsia"/>
        </w:rPr>
        <w:t>= La concentration de l’espèce absorbante</w:t>
      </w:r>
    </w:p>
    <w:p w14:paraId="444ECDD1" w14:textId="104316E6" w:rsidR="00AB2946" w:rsidRDefault="00AB2946" w:rsidP="00AB2946">
      <w:r>
        <w:t>C – Limites</w:t>
      </w:r>
      <w:r w:rsidR="008A4293">
        <w:t xml:space="preserve"> / Champ d’application</w:t>
      </w:r>
    </w:p>
    <w:p w14:paraId="1619D3AA" w14:textId="7ACBB274" w:rsidR="00501908" w:rsidRDefault="00501908" w:rsidP="00501908">
      <w:pPr>
        <w:pStyle w:val="Paragraphedeliste"/>
        <w:numPr>
          <w:ilvl w:val="0"/>
          <w:numId w:val="6"/>
        </w:numPr>
      </w:pPr>
      <w:r>
        <w:t xml:space="preserve">Ne fonctionne que pour des solutions faiblement concentrées (C </w:t>
      </w:r>
      <w:r w:rsidRPr="00501908">
        <w:t>≤</w:t>
      </w:r>
      <w:r>
        <w:t xml:space="preserve"> 10^-2 mol/L)</w:t>
      </w:r>
    </w:p>
    <w:p w14:paraId="0FBB184E" w14:textId="02BEF051" w:rsidR="00501908" w:rsidRDefault="00501908" w:rsidP="00501908">
      <w:pPr>
        <w:pStyle w:val="Paragraphedeliste"/>
        <w:numPr>
          <w:ilvl w:val="0"/>
          <w:numId w:val="6"/>
        </w:numPr>
      </w:pPr>
      <w:r>
        <w:t>Domaine UV-visible</w:t>
      </w:r>
    </w:p>
    <w:p w14:paraId="187E80A3" w14:textId="61FF51A7" w:rsidR="00501908" w:rsidRDefault="00501908" w:rsidP="00501908">
      <w:pPr>
        <w:pStyle w:val="Paragraphedeliste"/>
        <w:numPr>
          <w:ilvl w:val="0"/>
          <w:numId w:val="6"/>
        </w:numPr>
      </w:pPr>
      <w:r>
        <w:lastRenderedPageBreak/>
        <w:t>Solution non diffusante et non trouble.</w:t>
      </w:r>
    </w:p>
    <w:p w14:paraId="7BD2A76E" w14:textId="11B7952C" w:rsidR="00501908" w:rsidRDefault="00501908" w:rsidP="00501908">
      <w:pPr>
        <w:pStyle w:val="Paragraphedeliste"/>
        <w:numPr>
          <w:ilvl w:val="0"/>
          <w:numId w:val="6"/>
        </w:numPr>
      </w:pPr>
      <w:r>
        <w:t>Solution non luminescente</w:t>
      </w:r>
    </w:p>
    <w:p w14:paraId="6DCC00FD" w14:textId="69EB521C" w:rsidR="00501908" w:rsidRDefault="00501908" w:rsidP="00501908">
      <w:pPr>
        <w:pStyle w:val="Paragraphedeliste"/>
        <w:numPr>
          <w:ilvl w:val="0"/>
          <w:numId w:val="6"/>
        </w:numPr>
      </w:pPr>
      <w:r>
        <w:t xml:space="preserve">Utile pour </w:t>
      </w:r>
    </w:p>
    <w:p w14:paraId="10BAA48F" w14:textId="157DC787" w:rsidR="00501908" w:rsidRDefault="00501908" w:rsidP="00501908">
      <w:pPr>
        <w:pStyle w:val="Paragraphedeliste"/>
        <w:numPr>
          <w:ilvl w:val="1"/>
          <w:numId w:val="6"/>
        </w:numPr>
      </w:pPr>
      <w:r>
        <w:t>Déterminer une concentration de soluté coloré</w:t>
      </w:r>
    </w:p>
    <w:p w14:paraId="10BDD678" w14:textId="094E4C20" w:rsidR="00501908" w:rsidRDefault="00501908" w:rsidP="00501908">
      <w:pPr>
        <w:pStyle w:val="Paragraphedeliste"/>
        <w:numPr>
          <w:ilvl w:val="1"/>
          <w:numId w:val="6"/>
        </w:numPr>
      </w:pPr>
      <w:r>
        <w:t>Déterminer l’un ou l’autre des paramètres de la loi.</w:t>
      </w:r>
    </w:p>
    <w:p w14:paraId="2049568C" w14:textId="53BF47CA" w:rsidR="00AB2946" w:rsidRDefault="00AB2946" w:rsidP="00AB2946">
      <w:r>
        <w:t>III – Applications</w:t>
      </w:r>
    </w:p>
    <w:p w14:paraId="5B10B6F3" w14:textId="0BE8DDAC" w:rsidR="00AB2946" w:rsidRDefault="00501908" w:rsidP="00336806">
      <w:pPr>
        <w:pStyle w:val="Paragraphedeliste"/>
        <w:numPr>
          <w:ilvl w:val="0"/>
          <w:numId w:val="10"/>
        </w:numPr>
      </w:pPr>
      <w:r>
        <w:t>Retro-engineering</w:t>
      </w:r>
    </w:p>
    <w:p w14:paraId="1103C57C" w14:textId="77777777" w:rsidR="00336806" w:rsidRDefault="00336806" w:rsidP="00E67381">
      <w:pPr>
        <w:pStyle w:val="Paragraphedeliste"/>
        <w:numPr>
          <w:ilvl w:val="0"/>
          <w:numId w:val="10"/>
        </w:numPr>
      </w:pPr>
      <w:r>
        <w:t>Contrôle qualité</w:t>
      </w:r>
    </w:p>
    <w:sectPr w:rsidR="0033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B3A5D"/>
    <w:multiLevelType w:val="hybridMultilevel"/>
    <w:tmpl w:val="0B6A2324"/>
    <w:lvl w:ilvl="0" w:tplc="DDF214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D55A0"/>
    <w:multiLevelType w:val="hybridMultilevel"/>
    <w:tmpl w:val="3F46F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E3AB7"/>
    <w:multiLevelType w:val="hybridMultilevel"/>
    <w:tmpl w:val="6AD27C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17749"/>
    <w:multiLevelType w:val="hybridMultilevel"/>
    <w:tmpl w:val="E97E318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7F0713"/>
    <w:multiLevelType w:val="hybridMultilevel"/>
    <w:tmpl w:val="39DE63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C155A"/>
    <w:multiLevelType w:val="hybridMultilevel"/>
    <w:tmpl w:val="856E5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77211"/>
    <w:multiLevelType w:val="hybridMultilevel"/>
    <w:tmpl w:val="963E7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976A1"/>
    <w:multiLevelType w:val="hybridMultilevel"/>
    <w:tmpl w:val="9CC4A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91FF6"/>
    <w:multiLevelType w:val="multilevel"/>
    <w:tmpl w:val="AEA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6D7601"/>
    <w:multiLevelType w:val="hybridMultilevel"/>
    <w:tmpl w:val="85AA4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804076">
    <w:abstractNumId w:val="7"/>
  </w:num>
  <w:num w:numId="2" w16cid:durableId="1935094047">
    <w:abstractNumId w:val="4"/>
  </w:num>
  <w:num w:numId="3" w16cid:durableId="1170869530">
    <w:abstractNumId w:val="6"/>
  </w:num>
  <w:num w:numId="4" w16cid:durableId="1203178051">
    <w:abstractNumId w:val="0"/>
  </w:num>
  <w:num w:numId="5" w16cid:durableId="2122065690">
    <w:abstractNumId w:val="5"/>
  </w:num>
  <w:num w:numId="6" w16cid:durableId="1459421774">
    <w:abstractNumId w:val="1"/>
  </w:num>
  <w:num w:numId="7" w16cid:durableId="1006637000">
    <w:abstractNumId w:val="8"/>
  </w:num>
  <w:num w:numId="8" w16cid:durableId="469329253">
    <w:abstractNumId w:val="2"/>
  </w:num>
  <w:num w:numId="9" w16cid:durableId="573703009">
    <w:abstractNumId w:val="3"/>
  </w:num>
  <w:num w:numId="10" w16cid:durableId="9510602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06"/>
    <w:rsid w:val="0030398E"/>
    <w:rsid w:val="00336806"/>
    <w:rsid w:val="00501908"/>
    <w:rsid w:val="00646BDF"/>
    <w:rsid w:val="008A4293"/>
    <w:rsid w:val="009563BF"/>
    <w:rsid w:val="00AB2946"/>
    <w:rsid w:val="00C0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CE3A"/>
  <w15:chartTrackingRefBased/>
  <w15:docId w15:val="{566E6C7D-615A-4A34-99C7-68665873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294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A4293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50190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1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brunet</dc:creator>
  <cp:keywords/>
  <dc:description/>
  <cp:lastModifiedBy>marc brunet</cp:lastModifiedBy>
  <cp:revision>1</cp:revision>
  <dcterms:created xsi:type="dcterms:W3CDTF">2024-12-01T16:03:00Z</dcterms:created>
  <dcterms:modified xsi:type="dcterms:W3CDTF">2024-12-01T17:34:00Z</dcterms:modified>
</cp:coreProperties>
</file>