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759845" w14:textId="77777777" w:rsidR="00E60B4D" w:rsidRPr="00E60B4D" w:rsidRDefault="00E60B4D" w:rsidP="00E60B4D">
      <w:pPr>
        <w:spacing w:before="100" w:beforeAutospacing="1" w:after="100" w:afterAutospacing="1" w:line="240" w:lineRule="auto"/>
        <w:outlineLvl w:val="0"/>
        <w:rPr>
          <w:rFonts w:ascii="Times New Roman" w:eastAsia="Times New Roman" w:hAnsi="Times New Roman" w:cs="Times New Roman"/>
          <w:b/>
          <w:bCs/>
          <w:kern w:val="36"/>
          <w:sz w:val="48"/>
          <w:szCs w:val="48"/>
          <w:lang w:eastAsia="fr-FR"/>
        </w:rPr>
      </w:pPr>
      <w:r w:rsidRPr="00E60B4D">
        <w:rPr>
          <w:rFonts w:ascii="Times New Roman" w:eastAsia="Times New Roman" w:hAnsi="Times New Roman" w:cs="Times New Roman"/>
          <w:b/>
          <w:bCs/>
          <w:kern w:val="36"/>
          <w:sz w:val="48"/>
          <w:szCs w:val="48"/>
          <w:lang w:eastAsia="fr-FR"/>
        </w:rPr>
        <w:t>Protégé : T2-C4 : L’industrialisation et l’accélération des transformations économiques et sociales en France (1848-1870)</w:t>
      </w:r>
    </w:p>
    <w:p w14:paraId="6D5F6BAD"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i/>
          <w:iCs/>
          <w:sz w:val="24"/>
          <w:szCs w:val="24"/>
          <w:lang w:eastAsia="fr-FR"/>
        </w:rPr>
        <w:t xml:space="preserve">Thème II : La France dans l’Europe des nationalités : politique et société (1848-1871) </w:t>
      </w:r>
    </w:p>
    <w:p w14:paraId="00B2B92C"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i/>
          <w:iCs/>
          <w:sz w:val="24"/>
          <w:szCs w:val="24"/>
          <w:lang w:eastAsia="fr-FR"/>
        </w:rPr>
        <w:t>Chapitre 4 : L’industrialisation et l’accélération des transformations économiques et sociales en France (1848-1870)</w:t>
      </w:r>
    </w:p>
    <w:p w14:paraId="6376810F" w14:textId="2394F671"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2D931406" wp14:editId="4D648025">
            <wp:extent cx="5760720" cy="15875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60720" cy="1587500"/>
                    </a:xfrm>
                    <a:prstGeom prst="rect">
                      <a:avLst/>
                    </a:prstGeom>
                    <a:noFill/>
                    <a:ln>
                      <a:noFill/>
                    </a:ln>
                  </pic:spPr>
                </pic:pic>
              </a:graphicData>
            </a:graphic>
          </wp:inline>
        </w:drawing>
      </w:r>
    </w:p>
    <w:p w14:paraId="5441FF81"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 </w:t>
      </w:r>
    </w:p>
    <w:p w14:paraId="02F3E21E" w14:textId="24BF0F37" w:rsidR="00E60B4D" w:rsidRPr="00E60B4D" w:rsidRDefault="00E60B4D" w:rsidP="00E60B4D">
      <w:pPr>
        <w:spacing w:after="0"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 xml:space="preserve">François-Ignace </w:t>
      </w:r>
      <w:proofErr w:type="spellStart"/>
      <w:r w:rsidRPr="00E60B4D">
        <w:rPr>
          <w:rFonts w:ascii="Times New Roman" w:eastAsia="Times New Roman" w:hAnsi="Times New Roman" w:cs="Times New Roman"/>
          <w:sz w:val="24"/>
          <w:szCs w:val="24"/>
          <w:lang w:eastAsia="fr-FR"/>
        </w:rPr>
        <w:t>Bonhommé</w:t>
      </w:r>
      <w:proofErr w:type="spellEnd"/>
      <w:r w:rsidRPr="00E60B4D">
        <w:rPr>
          <w:rFonts w:ascii="Times New Roman" w:eastAsia="Times New Roman" w:hAnsi="Times New Roman" w:cs="Times New Roman"/>
          <w:sz w:val="24"/>
          <w:szCs w:val="24"/>
          <w:lang w:eastAsia="fr-FR"/>
        </w:rPr>
        <w:t xml:space="preserve">, Mines de houille de Blanzy, 1857, aquarelle sur papier, Conservatoire national des Arts et Métiers, Paris. </w:t>
      </w:r>
    </w:p>
    <w:p w14:paraId="61363BBD"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i/>
          <w:iCs/>
          <w:sz w:val="24"/>
          <w:szCs w:val="24"/>
          <w:lang w:eastAsia="fr-FR"/>
        </w:rPr>
        <w:t>L’industrialisation a des impacts économiques, sociaux, culturels et environnementaux. Les façons de travailler évoluent, ce qui engendre l’émergence d’une nouvelle classe sociale : le monde ouvrier s’affirme de plus en plus</w:t>
      </w:r>
    </w:p>
    <w:p w14:paraId="789EAD42"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color w:val="FF0000"/>
          <w:sz w:val="24"/>
          <w:szCs w:val="24"/>
          <w:lang w:eastAsia="fr-FR"/>
        </w:rPr>
        <w:t>I. Le Second Empire et la modernisation de la France</w:t>
      </w:r>
    </w:p>
    <w:p w14:paraId="7A69A785"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i/>
          <w:iCs/>
          <w:sz w:val="24"/>
          <w:szCs w:val="24"/>
          <w:lang w:eastAsia="fr-FR"/>
        </w:rPr>
        <w:t>Comment le Second Empire entend-il moderniser la France ?</w:t>
      </w:r>
    </w:p>
    <w:p w14:paraId="424CA4E8"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color w:val="333399"/>
          <w:sz w:val="24"/>
          <w:szCs w:val="24"/>
          <w:lang w:eastAsia="fr-FR"/>
        </w:rPr>
        <w:t>A. La promotion de l’invention et de l’esprit scientifique</w:t>
      </w:r>
    </w:p>
    <w:p w14:paraId="115F4169"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La croyance dans le progrès</w:t>
      </w:r>
    </w:p>
    <w:p w14:paraId="0E5D068E"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Entouré de conseillers comme Michel Chevalier, Napoléon III défend des principes nouveaux : les compétences et les talents doivent remplacer les privilèges de la naissance, et la hausse de la production industrielle améliorera le sort de la classe populaire pour mettre un terme aux révolutions. Pour cela, il faut faciliter le crédit et développer les réseaux de communication.</w:t>
      </w:r>
    </w:p>
    <w:p w14:paraId="21D12BE9"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La valorisation de l’esprit scientifique</w:t>
      </w:r>
    </w:p>
    <w:p w14:paraId="708E5791"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 xml:space="preserve">Le Second Empire valorise la capacité d’invention : traités et outils théoriques de recherche se multiplient. L’administration enquête auprès des industriels ou des fermiers pour mesurer et </w:t>
      </w:r>
      <w:r w:rsidRPr="00E60B4D">
        <w:rPr>
          <w:rFonts w:ascii="Times New Roman" w:eastAsia="Times New Roman" w:hAnsi="Times New Roman" w:cs="Times New Roman"/>
          <w:sz w:val="24"/>
          <w:szCs w:val="24"/>
          <w:lang w:eastAsia="fr-FR"/>
        </w:rPr>
        <w:lastRenderedPageBreak/>
        <w:t>rationaliser le développement économique ; la Société de statistique de Paris est créée en 1860.</w:t>
      </w:r>
    </w:p>
    <w:p w14:paraId="7CDB70B0" w14:textId="149B61DE"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Les Expositions universelles et les comices, lieux de célébration de l’innovation</w:t>
      </w:r>
    </w:p>
    <w:p w14:paraId="097F1CA8"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i/>
          <w:iCs/>
          <w:sz w:val="24"/>
          <w:szCs w:val="24"/>
          <w:lang w:eastAsia="fr-FR"/>
        </w:rPr>
        <w:t>Le Palais de l’Industrie, construit à Paris pour l’Exposition Universelle de 1855, donne à voir une France moderne, à la pointe des progrès techniques</w:t>
      </w:r>
      <w:r w:rsidRPr="00E60B4D">
        <w:rPr>
          <w:rFonts w:ascii="Times New Roman" w:eastAsia="Times New Roman" w:hAnsi="Times New Roman" w:cs="Times New Roman"/>
          <w:sz w:val="24"/>
          <w:szCs w:val="24"/>
          <w:lang w:eastAsia="fr-FR"/>
        </w:rPr>
        <w:t>.</w:t>
      </w:r>
    </w:p>
    <w:p w14:paraId="6C7B114D"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L’empire met en scène les réussites industrielles par les Expositions universelles de 1855 et 1867. Les visiteurs y découvrent les premières batteuses à grain ou les grands ouvrages d’art. Dans les campagnes, l’organisation annuelle des </w:t>
      </w:r>
      <w:r w:rsidRPr="00E60B4D">
        <w:rPr>
          <w:rFonts w:ascii="Times New Roman" w:eastAsia="Times New Roman" w:hAnsi="Times New Roman" w:cs="Times New Roman"/>
          <w:b/>
          <w:bCs/>
          <w:sz w:val="24"/>
          <w:szCs w:val="24"/>
          <w:lang w:eastAsia="fr-FR"/>
        </w:rPr>
        <w:t>comices agricoles</w:t>
      </w:r>
      <w:r w:rsidRPr="00E60B4D">
        <w:rPr>
          <w:rFonts w:ascii="Times New Roman" w:eastAsia="Times New Roman" w:hAnsi="Times New Roman" w:cs="Times New Roman"/>
          <w:sz w:val="24"/>
          <w:szCs w:val="24"/>
          <w:lang w:eastAsia="fr-FR"/>
        </w:rPr>
        <w:t>, initiée par la monarchie de Juillet et devenue obligatoire après 1851, récompense les pratiques innovantes, comme l’usage de l’engrais. Ces changements sont rendus possibles par le développement des réseaux de transport et de communication.</w:t>
      </w:r>
    </w:p>
    <w:p w14:paraId="4853A09F"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 </w:t>
      </w:r>
    </w:p>
    <w:p w14:paraId="4B45D219"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color w:val="333399"/>
          <w:sz w:val="24"/>
          <w:szCs w:val="24"/>
          <w:lang w:eastAsia="fr-FR"/>
        </w:rPr>
        <w:t>B. Un territoire décloisonné et connecté</w:t>
      </w:r>
    </w:p>
    <w:p w14:paraId="5099D6DB"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L’essor remarquable du réseau ferré</w:t>
      </w:r>
    </w:p>
    <w:p w14:paraId="38D47E3A" w14:textId="6D4A9532"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3557705C" wp14:editId="29E5BB2E">
            <wp:extent cx="5760720" cy="2308860"/>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60720" cy="2308860"/>
                    </a:xfrm>
                    <a:prstGeom prst="rect">
                      <a:avLst/>
                    </a:prstGeom>
                    <a:noFill/>
                    <a:ln>
                      <a:noFill/>
                    </a:ln>
                  </pic:spPr>
                </pic:pic>
              </a:graphicData>
            </a:graphic>
          </wp:inline>
        </w:drawing>
      </w:r>
    </w:p>
    <w:p w14:paraId="4AFB5BC6"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Par la loi de 1842, l’État prend à sa charge les infrastructures terrains, ponts, tunnels, voies), tandis que le matériel, la construction des gares et l’organisation du service de transport sont concédés sur une longue durée à des compagnies privées. Les différents réseaux convergent vers Paris.</w:t>
      </w:r>
    </w:p>
    <w:p w14:paraId="27FC9991"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Le Second Empire consolide ce dispositif pour unifier le marché national. La fusion des lignes concédées aboutit à </w:t>
      </w:r>
      <w:r w:rsidRPr="00E60B4D">
        <w:rPr>
          <w:rFonts w:ascii="Times New Roman" w:eastAsia="Times New Roman" w:hAnsi="Times New Roman" w:cs="Times New Roman"/>
          <w:b/>
          <w:bCs/>
          <w:sz w:val="24"/>
          <w:szCs w:val="24"/>
          <w:lang w:eastAsia="fr-FR"/>
        </w:rPr>
        <w:t>la création de 6 grandes compagnies, associant industriels et financiers</w:t>
      </w:r>
      <w:r w:rsidRPr="00E60B4D">
        <w:rPr>
          <w:rFonts w:ascii="Times New Roman" w:eastAsia="Times New Roman" w:hAnsi="Times New Roman" w:cs="Times New Roman"/>
          <w:sz w:val="24"/>
          <w:szCs w:val="24"/>
          <w:lang w:eastAsia="fr-FR"/>
        </w:rPr>
        <w:t>. En allongeant leurs </w:t>
      </w:r>
      <w:r w:rsidRPr="00E60B4D">
        <w:rPr>
          <w:rFonts w:ascii="Times New Roman" w:eastAsia="Times New Roman" w:hAnsi="Times New Roman" w:cs="Times New Roman"/>
          <w:b/>
          <w:bCs/>
          <w:sz w:val="24"/>
          <w:szCs w:val="24"/>
          <w:lang w:eastAsia="fr-FR"/>
        </w:rPr>
        <w:t>concessions</w:t>
      </w:r>
      <w:r w:rsidRPr="00E60B4D">
        <w:rPr>
          <w:rFonts w:ascii="Times New Roman" w:eastAsia="Times New Roman" w:hAnsi="Times New Roman" w:cs="Times New Roman"/>
          <w:sz w:val="24"/>
          <w:szCs w:val="24"/>
          <w:lang w:eastAsia="fr-FR"/>
        </w:rPr>
        <w:t> à 99 ans et en garantissant leurs </w:t>
      </w:r>
      <w:r w:rsidRPr="00E60B4D">
        <w:rPr>
          <w:rFonts w:ascii="Times New Roman" w:eastAsia="Times New Roman" w:hAnsi="Times New Roman" w:cs="Times New Roman"/>
          <w:b/>
          <w:bCs/>
          <w:sz w:val="24"/>
          <w:szCs w:val="24"/>
          <w:lang w:eastAsia="fr-FR"/>
        </w:rPr>
        <w:t>obligations</w:t>
      </w:r>
      <w:r w:rsidRPr="00E60B4D">
        <w:rPr>
          <w:rFonts w:ascii="Times New Roman" w:eastAsia="Times New Roman" w:hAnsi="Times New Roman" w:cs="Times New Roman"/>
          <w:sz w:val="24"/>
          <w:szCs w:val="24"/>
          <w:lang w:eastAsia="fr-FR"/>
        </w:rPr>
        <w:t> à hauteur de 3 %, l’État les incite à supporter la construction du réseau secondaire, moins rentable. Le développement du chemin de fer est spectaculaire : entre 1851 et 1870, le réseau passe de 3 000 km à 17 000 km, et le cumul de voyageurs de 20 à 113 millions.</w:t>
      </w:r>
    </w:p>
    <w:p w14:paraId="209C12F7"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Le développement des autres réseaux de communication</w:t>
      </w:r>
    </w:p>
    <w:p w14:paraId="1E90458E"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lastRenderedPageBreak/>
        <w:t>Dès 1836, la loi sur les chemins vicinaux (ou communaux) jette les bases </w:t>
      </w:r>
      <w:r w:rsidRPr="00E60B4D">
        <w:rPr>
          <w:rFonts w:ascii="Times New Roman" w:eastAsia="Times New Roman" w:hAnsi="Times New Roman" w:cs="Times New Roman"/>
          <w:b/>
          <w:bCs/>
          <w:sz w:val="24"/>
          <w:szCs w:val="24"/>
          <w:lang w:eastAsia="fr-FR"/>
        </w:rPr>
        <w:t>d’un réseau routier qui pénètre au cœur des campagnes</w:t>
      </w:r>
      <w:r w:rsidRPr="00E60B4D">
        <w:rPr>
          <w:rFonts w:ascii="Times New Roman" w:eastAsia="Times New Roman" w:hAnsi="Times New Roman" w:cs="Times New Roman"/>
          <w:sz w:val="24"/>
          <w:szCs w:val="24"/>
          <w:lang w:eastAsia="fr-FR"/>
        </w:rPr>
        <w:t> et contribue de manière décisive à leur désenclavement. Foires et marchés accueillent les colporteurs, marchands ambulants qui </w:t>
      </w:r>
      <w:r w:rsidRPr="00E60B4D">
        <w:rPr>
          <w:rFonts w:ascii="Times New Roman" w:eastAsia="Times New Roman" w:hAnsi="Times New Roman" w:cs="Times New Roman"/>
          <w:b/>
          <w:bCs/>
          <w:sz w:val="24"/>
          <w:szCs w:val="24"/>
          <w:lang w:eastAsia="fr-FR"/>
        </w:rPr>
        <w:t>assurent la circulation des informations et l’accès à la consommation</w:t>
      </w:r>
      <w:r w:rsidRPr="00E60B4D">
        <w:rPr>
          <w:rFonts w:ascii="Times New Roman" w:eastAsia="Times New Roman" w:hAnsi="Times New Roman" w:cs="Times New Roman"/>
          <w:sz w:val="24"/>
          <w:szCs w:val="24"/>
          <w:lang w:eastAsia="fr-FR"/>
        </w:rPr>
        <w:t>.</w:t>
      </w:r>
    </w:p>
    <w:p w14:paraId="1FC9186D"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Progressivement, le train dessert les principaux ports du territoire</w:t>
      </w:r>
      <w:r w:rsidRPr="00E60B4D">
        <w:rPr>
          <w:rFonts w:ascii="Times New Roman" w:eastAsia="Times New Roman" w:hAnsi="Times New Roman" w:cs="Times New Roman"/>
          <w:sz w:val="24"/>
          <w:szCs w:val="24"/>
          <w:lang w:eastAsia="fr-FR"/>
        </w:rPr>
        <w:t>, où s’ouvrent des liaisons avec le reste du monde : Marseille-Alger en 1854, Le Havre-New York en 1864. Le réseau télégraphique passe de 2 000 à 40 000 km ; le contrôle du territoire s’en trouve renforcé.</w:t>
      </w:r>
    </w:p>
    <w:p w14:paraId="00BADE26"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color w:val="333399"/>
          <w:sz w:val="24"/>
          <w:szCs w:val="24"/>
          <w:lang w:eastAsia="fr-FR"/>
        </w:rPr>
        <w:t>C. Le financement des transformations urbaines</w:t>
      </w:r>
    </w:p>
    <w:p w14:paraId="1BE91566"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L’essor des banques</w:t>
      </w:r>
    </w:p>
    <w:p w14:paraId="57E6A95E"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Avec la loi de 1863 sur les sociétés anonymes, </w:t>
      </w:r>
      <w:r w:rsidRPr="00E60B4D">
        <w:rPr>
          <w:rFonts w:ascii="Times New Roman" w:eastAsia="Times New Roman" w:hAnsi="Times New Roman" w:cs="Times New Roman"/>
          <w:b/>
          <w:bCs/>
          <w:sz w:val="24"/>
          <w:szCs w:val="24"/>
          <w:lang w:eastAsia="fr-FR"/>
        </w:rPr>
        <w:t>de nouvelles banques, comme le Crédit lyonnais et la Société générale (en 1864), cumulent actions, obligations et dépôts de particuliers dans leur capital</w:t>
      </w:r>
      <w:r w:rsidRPr="00E60B4D">
        <w:rPr>
          <w:rFonts w:ascii="Times New Roman" w:eastAsia="Times New Roman" w:hAnsi="Times New Roman" w:cs="Times New Roman"/>
          <w:sz w:val="24"/>
          <w:szCs w:val="24"/>
          <w:lang w:eastAsia="fr-FR"/>
        </w:rPr>
        <w:t>. Développant un réseau de </w:t>
      </w:r>
      <w:r w:rsidRPr="00E60B4D">
        <w:rPr>
          <w:rFonts w:ascii="Times New Roman" w:eastAsia="Times New Roman" w:hAnsi="Times New Roman" w:cs="Times New Roman"/>
          <w:b/>
          <w:bCs/>
          <w:sz w:val="24"/>
          <w:szCs w:val="24"/>
          <w:lang w:eastAsia="fr-FR"/>
        </w:rPr>
        <w:t>succursales</w:t>
      </w:r>
      <w:r w:rsidRPr="00E60B4D">
        <w:rPr>
          <w:rFonts w:ascii="Times New Roman" w:eastAsia="Times New Roman" w:hAnsi="Times New Roman" w:cs="Times New Roman"/>
          <w:sz w:val="24"/>
          <w:szCs w:val="24"/>
          <w:lang w:eastAsia="fr-FR"/>
        </w:rPr>
        <w:t> sur tout le territoire, elles contribuent au financement des entreprises.</w:t>
      </w:r>
    </w:p>
    <w:p w14:paraId="46FC7325"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D’autres établissements bancaires reçoivent l’appui direct de l’empereur, comme</w:t>
      </w:r>
      <w:r w:rsidRPr="00E60B4D">
        <w:rPr>
          <w:rFonts w:ascii="Times New Roman" w:eastAsia="Times New Roman" w:hAnsi="Times New Roman" w:cs="Times New Roman"/>
          <w:b/>
          <w:bCs/>
          <w:sz w:val="24"/>
          <w:szCs w:val="24"/>
          <w:lang w:eastAsia="fr-FR"/>
        </w:rPr>
        <w:t> le Crédit mobilier des frères Pereire (1852)</w:t>
      </w:r>
      <w:r w:rsidRPr="00E60B4D">
        <w:rPr>
          <w:rFonts w:ascii="Times New Roman" w:eastAsia="Times New Roman" w:hAnsi="Times New Roman" w:cs="Times New Roman"/>
          <w:sz w:val="24"/>
          <w:szCs w:val="24"/>
          <w:lang w:eastAsia="fr-FR"/>
        </w:rPr>
        <w:t>, qui s’engagent dans le financement de grands travaux urbains à Paris et dans plusieurs villes thermales (Arcachon, Vichy) tout en investissant dans les chemins de fer.</w:t>
      </w:r>
    </w:p>
    <w:p w14:paraId="5DDA3B7D" w14:textId="46768493"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767E3F41" wp14:editId="450AB2B4">
            <wp:extent cx="2445385" cy="37744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5385" cy="3774440"/>
                    </a:xfrm>
                    <a:prstGeom prst="rect">
                      <a:avLst/>
                    </a:prstGeom>
                    <a:noFill/>
                    <a:ln>
                      <a:noFill/>
                    </a:ln>
                  </pic:spPr>
                </pic:pic>
              </a:graphicData>
            </a:graphic>
          </wp:inline>
        </w:drawing>
      </w:r>
    </w:p>
    <w:p w14:paraId="18291D94"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La transformation des villes. </w:t>
      </w:r>
      <w:r w:rsidRPr="00E60B4D">
        <w:rPr>
          <w:rFonts w:ascii="Times New Roman" w:eastAsia="Times New Roman" w:hAnsi="Times New Roman" w:cs="Times New Roman"/>
          <w:sz w:val="24"/>
          <w:szCs w:val="24"/>
          <w:lang w:eastAsia="fr-FR"/>
        </w:rPr>
        <w:t>L’état sanitaire des grandes villes, dénoncé par les </w:t>
      </w:r>
      <w:r w:rsidRPr="00E60B4D">
        <w:rPr>
          <w:rFonts w:ascii="Times New Roman" w:eastAsia="Times New Roman" w:hAnsi="Times New Roman" w:cs="Times New Roman"/>
          <w:b/>
          <w:bCs/>
          <w:sz w:val="24"/>
          <w:szCs w:val="24"/>
          <w:lang w:eastAsia="fr-FR"/>
        </w:rPr>
        <w:t>hygiénistes</w:t>
      </w:r>
      <w:r w:rsidRPr="00E60B4D">
        <w:rPr>
          <w:rFonts w:ascii="Times New Roman" w:eastAsia="Times New Roman" w:hAnsi="Times New Roman" w:cs="Times New Roman"/>
          <w:sz w:val="24"/>
          <w:szCs w:val="24"/>
          <w:lang w:eastAsia="fr-FR"/>
        </w:rPr>
        <w:t>, justifie un </w:t>
      </w:r>
      <w:r w:rsidRPr="00E60B4D">
        <w:rPr>
          <w:rFonts w:ascii="Times New Roman" w:eastAsia="Times New Roman" w:hAnsi="Times New Roman" w:cs="Times New Roman"/>
          <w:b/>
          <w:bCs/>
          <w:sz w:val="24"/>
          <w:szCs w:val="24"/>
          <w:lang w:eastAsia="fr-FR"/>
        </w:rPr>
        <w:t>profond remodelage urbain</w:t>
      </w:r>
      <w:r w:rsidRPr="00E60B4D">
        <w:rPr>
          <w:rFonts w:ascii="Times New Roman" w:eastAsia="Times New Roman" w:hAnsi="Times New Roman" w:cs="Times New Roman"/>
          <w:sz w:val="24"/>
          <w:szCs w:val="24"/>
          <w:lang w:eastAsia="fr-FR"/>
        </w:rPr>
        <w:t xml:space="preserve">. Le pouvoir cherche aussi à mieux contrôler les classes populaires, tout en réalisant des opérations de prestige. Ainsi, à Paris, Marseille ou </w:t>
      </w:r>
      <w:r w:rsidRPr="00E60B4D">
        <w:rPr>
          <w:rFonts w:ascii="Times New Roman" w:eastAsia="Times New Roman" w:hAnsi="Times New Roman" w:cs="Times New Roman"/>
          <w:sz w:val="24"/>
          <w:szCs w:val="24"/>
          <w:lang w:eastAsia="fr-FR"/>
        </w:rPr>
        <w:lastRenderedPageBreak/>
        <w:t>Lyon, l’État et la ville définissent le plan d’ensemble, réalisent les réseaux et les grands équipements, et exproprient.</w:t>
      </w:r>
    </w:p>
    <w:p w14:paraId="7C607135"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À Paris, cette politique est mise en œuvre à partir de 1853 par le préfet Haussmann.</w:t>
      </w:r>
      <w:r w:rsidRPr="00E60B4D">
        <w:rPr>
          <w:rFonts w:ascii="Times New Roman" w:eastAsia="Times New Roman" w:hAnsi="Times New Roman" w:cs="Times New Roman"/>
          <w:sz w:val="24"/>
          <w:szCs w:val="24"/>
          <w:lang w:eastAsia="fr-FR"/>
        </w:rPr>
        <w:t> Il agrandit d’abord Paris en 1860 par l’annexion des communes limitrophes, la faisant passer de 12 à 20 arrondissements, puis engage de vastes travaux (réseau d’égouts, percement ou élargissement des voies de circulation, construction de nouvelles gares comme la Gare du Nord ou la Gare de Lyon). Cette modernisation et cet embellissement de la capitale </w:t>
      </w:r>
      <w:r w:rsidRPr="00E60B4D">
        <w:rPr>
          <w:rFonts w:ascii="Times New Roman" w:eastAsia="Times New Roman" w:hAnsi="Times New Roman" w:cs="Times New Roman"/>
          <w:b/>
          <w:bCs/>
          <w:sz w:val="24"/>
          <w:szCs w:val="24"/>
          <w:lang w:eastAsia="fr-FR"/>
        </w:rPr>
        <w:t>profitent à de nombreux entrepreneurs qui construisent et vendent les nouveaux immeubles</w:t>
      </w:r>
      <w:r w:rsidRPr="00E60B4D">
        <w:rPr>
          <w:rFonts w:ascii="Times New Roman" w:eastAsia="Times New Roman" w:hAnsi="Times New Roman" w:cs="Times New Roman"/>
          <w:sz w:val="24"/>
          <w:szCs w:val="24"/>
          <w:lang w:eastAsia="fr-FR"/>
        </w:rPr>
        <w:t>. Mais cette politique est aussi critiquée en raison de la trop grande proximité entre l’État et certains spéculateurs. Surtout, </w:t>
      </w:r>
      <w:r w:rsidRPr="00E60B4D">
        <w:rPr>
          <w:rFonts w:ascii="Times New Roman" w:eastAsia="Times New Roman" w:hAnsi="Times New Roman" w:cs="Times New Roman"/>
          <w:b/>
          <w:bCs/>
          <w:sz w:val="24"/>
          <w:szCs w:val="24"/>
          <w:lang w:eastAsia="fr-FR"/>
        </w:rPr>
        <w:t>une partie de la population parisienne est expulsée du centre de la ville</w:t>
      </w:r>
      <w:r w:rsidRPr="00E60B4D">
        <w:rPr>
          <w:rFonts w:ascii="Times New Roman" w:eastAsia="Times New Roman" w:hAnsi="Times New Roman" w:cs="Times New Roman"/>
          <w:sz w:val="24"/>
          <w:szCs w:val="24"/>
          <w:lang w:eastAsia="fr-FR"/>
        </w:rPr>
        <w:t> et doit se loger ailleurs dans des conditions toujours aussi dégradées.</w:t>
      </w:r>
    </w:p>
    <w:p w14:paraId="1AE3F22C"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proofErr w:type="spellStart"/>
      <w:r w:rsidRPr="00E60B4D">
        <w:rPr>
          <w:rFonts w:ascii="Times New Roman" w:eastAsia="Times New Roman" w:hAnsi="Times New Roman" w:cs="Times New Roman"/>
          <w:b/>
          <w:bCs/>
          <w:color w:val="FF0000"/>
          <w:sz w:val="24"/>
          <w:szCs w:val="24"/>
          <w:lang w:eastAsia="fr-FR"/>
        </w:rPr>
        <w:t>III.Les</w:t>
      </w:r>
      <w:proofErr w:type="spellEnd"/>
      <w:r w:rsidRPr="00E60B4D">
        <w:rPr>
          <w:rFonts w:ascii="Times New Roman" w:eastAsia="Times New Roman" w:hAnsi="Times New Roman" w:cs="Times New Roman"/>
          <w:b/>
          <w:bCs/>
          <w:color w:val="FF0000"/>
          <w:sz w:val="24"/>
          <w:szCs w:val="24"/>
          <w:lang w:eastAsia="fr-FR"/>
        </w:rPr>
        <w:t xml:space="preserve"> transformations de la société française au temps de l’industrialisation</w:t>
      </w:r>
    </w:p>
    <w:p w14:paraId="35CE3576"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i/>
          <w:iCs/>
          <w:sz w:val="24"/>
          <w:szCs w:val="24"/>
          <w:lang w:eastAsia="fr-FR"/>
        </w:rPr>
        <w:t>Le Second Empire correspond-il à une période de basculement vers une société industrielle ?</w:t>
      </w:r>
    </w:p>
    <w:p w14:paraId="42E5C18A"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color w:val="333399"/>
          <w:sz w:val="24"/>
          <w:szCs w:val="24"/>
          <w:lang w:eastAsia="fr-FR"/>
        </w:rPr>
        <w:t>A. Une population rurale encore majoritaire</w:t>
      </w:r>
    </w:p>
    <w:p w14:paraId="033EA487"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Des ruraux aux profils très variés. </w:t>
      </w:r>
      <w:r w:rsidRPr="00E60B4D">
        <w:rPr>
          <w:rFonts w:ascii="Times New Roman" w:eastAsia="Times New Roman" w:hAnsi="Times New Roman" w:cs="Times New Roman"/>
          <w:sz w:val="24"/>
          <w:szCs w:val="24"/>
          <w:lang w:eastAsia="fr-FR"/>
        </w:rPr>
        <w:t>En 1852, sur 35 millions d’habitants, la France compte </w:t>
      </w:r>
      <w:r w:rsidRPr="00E60B4D">
        <w:rPr>
          <w:rFonts w:ascii="Times New Roman" w:eastAsia="Times New Roman" w:hAnsi="Times New Roman" w:cs="Times New Roman"/>
          <w:b/>
          <w:bCs/>
          <w:sz w:val="24"/>
          <w:szCs w:val="24"/>
          <w:lang w:eastAsia="fr-FR"/>
        </w:rPr>
        <w:t>27 millions de ruraux</w:t>
      </w:r>
      <w:r w:rsidRPr="00E60B4D">
        <w:rPr>
          <w:rFonts w:ascii="Times New Roman" w:eastAsia="Times New Roman" w:hAnsi="Times New Roman" w:cs="Times New Roman"/>
          <w:sz w:val="24"/>
          <w:szCs w:val="24"/>
          <w:lang w:eastAsia="fr-FR"/>
        </w:rPr>
        <w:t>, dont 20 millions de cultivateurs. À côté des gros exploitants, </w:t>
      </w:r>
      <w:r w:rsidRPr="00E60B4D">
        <w:rPr>
          <w:rFonts w:ascii="Times New Roman" w:eastAsia="Times New Roman" w:hAnsi="Times New Roman" w:cs="Times New Roman"/>
          <w:b/>
          <w:bCs/>
          <w:sz w:val="24"/>
          <w:szCs w:val="24"/>
          <w:lang w:eastAsia="fr-FR"/>
        </w:rPr>
        <w:t>la plupart des agriculteurs sont de petits propriétaires</w:t>
      </w:r>
      <w:r w:rsidRPr="00E60B4D">
        <w:rPr>
          <w:rFonts w:ascii="Times New Roman" w:eastAsia="Times New Roman" w:hAnsi="Times New Roman" w:cs="Times New Roman"/>
          <w:sz w:val="24"/>
          <w:szCs w:val="24"/>
          <w:lang w:eastAsia="fr-FR"/>
        </w:rPr>
        <w:t xml:space="preserve">, et 3 millions de « prolétaires agricoles » louent leurs bras. Beaucoup de ruraux </w:t>
      </w:r>
      <w:r w:rsidRPr="00E60B4D">
        <w:rPr>
          <w:rFonts w:ascii="Times New Roman" w:eastAsia="Times New Roman" w:hAnsi="Times New Roman" w:cs="Times New Roman"/>
          <w:b/>
          <w:bCs/>
          <w:sz w:val="24"/>
          <w:szCs w:val="24"/>
          <w:lang w:eastAsia="fr-FR"/>
        </w:rPr>
        <w:t>alternent les activités industrielles et agricoles selon les saisons et les opportunités</w:t>
      </w:r>
      <w:r w:rsidRPr="00E60B4D">
        <w:rPr>
          <w:rFonts w:ascii="Times New Roman" w:eastAsia="Times New Roman" w:hAnsi="Times New Roman" w:cs="Times New Roman"/>
          <w:sz w:val="24"/>
          <w:szCs w:val="24"/>
          <w:lang w:eastAsia="fr-FR"/>
        </w:rPr>
        <w:t>, </w:t>
      </w:r>
      <w:r w:rsidRPr="00E60B4D">
        <w:rPr>
          <w:rFonts w:ascii="Times New Roman" w:eastAsia="Times New Roman" w:hAnsi="Times New Roman" w:cs="Times New Roman"/>
          <w:b/>
          <w:bCs/>
          <w:sz w:val="24"/>
          <w:szCs w:val="24"/>
          <w:lang w:eastAsia="fr-FR"/>
        </w:rPr>
        <w:t>ou se déplaçant temporairement en ville pour travailler</w:t>
      </w:r>
      <w:r w:rsidRPr="00E60B4D">
        <w:rPr>
          <w:rFonts w:ascii="Times New Roman" w:eastAsia="Times New Roman" w:hAnsi="Times New Roman" w:cs="Times New Roman"/>
          <w:sz w:val="24"/>
          <w:szCs w:val="24"/>
          <w:lang w:eastAsia="fr-FR"/>
        </w:rPr>
        <w:t>.</w:t>
      </w:r>
    </w:p>
    <w:p w14:paraId="153A76E8"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Une lente et inégale modernisation de l’agriculture. </w:t>
      </w:r>
      <w:r w:rsidRPr="00E60B4D">
        <w:rPr>
          <w:rFonts w:ascii="Times New Roman" w:eastAsia="Times New Roman" w:hAnsi="Times New Roman" w:cs="Times New Roman"/>
          <w:sz w:val="24"/>
          <w:szCs w:val="24"/>
          <w:lang w:eastAsia="fr-FR"/>
        </w:rPr>
        <w:t>La transformation de l’agriculture s’étale sur tout le XIXe siècle. </w:t>
      </w:r>
      <w:r w:rsidRPr="00E60B4D">
        <w:rPr>
          <w:rFonts w:ascii="Times New Roman" w:eastAsia="Times New Roman" w:hAnsi="Times New Roman" w:cs="Times New Roman"/>
          <w:b/>
          <w:bCs/>
          <w:sz w:val="24"/>
          <w:szCs w:val="24"/>
          <w:lang w:eastAsia="fr-FR"/>
        </w:rPr>
        <w:t>Avec la hausse des rendements et des surfaces cultivées, les productions augmentent.</w:t>
      </w:r>
      <w:r w:rsidRPr="00E60B4D">
        <w:rPr>
          <w:rFonts w:ascii="Times New Roman" w:eastAsia="Times New Roman" w:hAnsi="Times New Roman" w:cs="Times New Roman"/>
          <w:sz w:val="24"/>
          <w:szCs w:val="24"/>
          <w:lang w:eastAsia="fr-FR"/>
        </w:rPr>
        <w:t> La mise en réseau du territoire favorise la spécialisation de certaines régions (viticulture en Languedoc, betterave sucrière en Picardie). La modernisation technique s’amorce, quoique freinée par la fragilité et le coût des machines.</w:t>
      </w:r>
    </w:p>
    <w:p w14:paraId="7EF06E08"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Les débuts de l’exode rural. La mobilité entre ville et campagne demeure ainsi importante jusqu’aux années 1860.</w:t>
      </w:r>
      <w:r w:rsidRPr="00E60B4D">
        <w:rPr>
          <w:rFonts w:ascii="Times New Roman" w:eastAsia="Times New Roman" w:hAnsi="Times New Roman" w:cs="Times New Roman"/>
          <w:sz w:val="24"/>
          <w:szCs w:val="24"/>
          <w:lang w:eastAsia="fr-FR"/>
        </w:rPr>
        <w:t> Progressivement, les installations définitives augmentent, </w:t>
      </w:r>
      <w:r w:rsidRPr="00E60B4D">
        <w:rPr>
          <w:rFonts w:ascii="Times New Roman" w:eastAsia="Times New Roman" w:hAnsi="Times New Roman" w:cs="Times New Roman"/>
          <w:b/>
          <w:bCs/>
          <w:sz w:val="24"/>
          <w:szCs w:val="24"/>
          <w:lang w:eastAsia="fr-FR"/>
        </w:rPr>
        <w:t>c’est le début de l’exode rural</w:t>
      </w:r>
      <w:r w:rsidRPr="00E60B4D">
        <w:rPr>
          <w:rFonts w:ascii="Times New Roman" w:eastAsia="Times New Roman" w:hAnsi="Times New Roman" w:cs="Times New Roman"/>
          <w:sz w:val="24"/>
          <w:szCs w:val="24"/>
          <w:lang w:eastAsia="fr-FR"/>
        </w:rPr>
        <w:t>. Il reste cependant encore modéré ; </w:t>
      </w:r>
      <w:r w:rsidRPr="00E60B4D">
        <w:rPr>
          <w:rFonts w:ascii="Times New Roman" w:eastAsia="Times New Roman" w:hAnsi="Times New Roman" w:cs="Times New Roman"/>
          <w:b/>
          <w:bCs/>
          <w:sz w:val="24"/>
          <w:szCs w:val="24"/>
          <w:lang w:eastAsia="fr-FR"/>
        </w:rPr>
        <w:t>la France se caractérise par une urbanisation lente</w:t>
      </w:r>
      <w:r w:rsidRPr="00E60B4D">
        <w:rPr>
          <w:rFonts w:ascii="Times New Roman" w:eastAsia="Times New Roman" w:hAnsi="Times New Roman" w:cs="Times New Roman"/>
          <w:sz w:val="24"/>
          <w:szCs w:val="24"/>
          <w:lang w:eastAsia="fr-FR"/>
        </w:rPr>
        <w:t>.</w:t>
      </w:r>
    </w:p>
    <w:p w14:paraId="68BA323F" w14:textId="5B9FCA91"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644D858A" wp14:editId="16A03753">
            <wp:extent cx="2914186" cy="1956479"/>
            <wp:effectExtent l="0" t="0" r="635" b="5715"/>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1627" cy="1968188"/>
                    </a:xfrm>
                    <a:prstGeom prst="rect">
                      <a:avLst/>
                    </a:prstGeom>
                    <a:noFill/>
                    <a:ln>
                      <a:noFill/>
                    </a:ln>
                  </pic:spPr>
                </pic:pic>
              </a:graphicData>
            </a:graphic>
          </wp:inline>
        </w:drawing>
      </w:r>
    </w:p>
    <w:p w14:paraId="4A269924"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color w:val="333399"/>
          <w:sz w:val="24"/>
          <w:szCs w:val="24"/>
          <w:lang w:eastAsia="fr-FR"/>
        </w:rPr>
        <w:lastRenderedPageBreak/>
        <w:t>B. L’industrialisation et ses conséquences</w:t>
      </w:r>
    </w:p>
    <w:p w14:paraId="45CDD664" w14:textId="45B9614B"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0D08F2C0" wp14:editId="0BA28BCB">
            <wp:extent cx="3180319" cy="2137130"/>
            <wp:effectExtent l="0" t="0" r="127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7779" cy="2148863"/>
                    </a:xfrm>
                    <a:prstGeom prst="rect">
                      <a:avLst/>
                    </a:prstGeom>
                    <a:noFill/>
                    <a:ln>
                      <a:noFill/>
                    </a:ln>
                  </pic:spPr>
                </pic:pic>
              </a:graphicData>
            </a:graphic>
          </wp:inline>
        </w:drawing>
      </w:r>
    </w:p>
    <w:p w14:paraId="04A68BC7"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Une production industrielle en hausse. </w:t>
      </w:r>
      <w:r w:rsidRPr="00E60B4D">
        <w:rPr>
          <w:rFonts w:ascii="Times New Roman" w:eastAsia="Times New Roman" w:hAnsi="Times New Roman" w:cs="Times New Roman"/>
          <w:sz w:val="24"/>
          <w:szCs w:val="24"/>
          <w:lang w:eastAsia="fr-FR"/>
        </w:rPr>
        <w:t>Le textile, la métallurgie et la construction dominent </w:t>
      </w:r>
      <w:r w:rsidRPr="00E60B4D">
        <w:rPr>
          <w:rFonts w:ascii="Times New Roman" w:eastAsia="Times New Roman" w:hAnsi="Times New Roman" w:cs="Times New Roman"/>
          <w:b/>
          <w:bCs/>
          <w:sz w:val="24"/>
          <w:szCs w:val="24"/>
          <w:lang w:eastAsia="fr-FR"/>
        </w:rPr>
        <w:t>un monde industriel très varié</w:t>
      </w:r>
      <w:r w:rsidRPr="00E60B4D">
        <w:rPr>
          <w:rFonts w:ascii="Times New Roman" w:eastAsia="Times New Roman" w:hAnsi="Times New Roman" w:cs="Times New Roman"/>
          <w:sz w:val="24"/>
          <w:szCs w:val="24"/>
          <w:lang w:eastAsia="fr-FR"/>
        </w:rPr>
        <w:t>. La production augmente, portée par la mécanisation, l’innovation et la consommation de masse. </w:t>
      </w:r>
      <w:r w:rsidRPr="00E60B4D">
        <w:rPr>
          <w:rFonts w:ascii="Times New Roman" w:eastAsia="Times New Roman" w:hAnsi="Times New Roman" w:cs="Times New Roman"/>
          <w:b/>
          <w:bCs/>
          <w:sz w:val="24"/>
          <w:szCs w:val="24"/>
          <w:lang w:eastAsia="fr-FR"/>
        </w:rPr>
        <w:t>Elle dépend majoritairement des ateliers et du travail à domicile, mais les usines se développent.</w:t>
      </w:r>
      <w:r w:rsidRPr="00E60B4D">
        <w:rPr>
          <w:rFonts w:ascii="Times New Roman" w:eastAsia="Times New Roman" w:hAnsi="Times New Roman" w:cs="Times New Roman"/>
          <w:sz w:val="24"/>
          <w:szCs w:val="24"/>
          <w:lang w:eastAsia="fr-FR"/>
        </w:rPr>
        <w:t> En effet, la rationalisation des coûts et l’utilisation croissante de la vapeur favorisent la concentration industrielle. La ville-usine du Creusot passe ainsi de 2 000 à 10 000 ouvriers entre 1852 et 1870. Enfin, l’industrie connaît une forte recomposition spatiale : l’activité décroît dans le Centre-Ouest (Auvergne, Périgord) et s’intensifie en Alsace, en Normandie ou dans le Nord.</w:t>
      </w:r>
    </w:p>
    <w:p w14:paraId="1C494DE2" w14:textId="1B772261"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Pr>
          <w:rFonts w:ascii="Times New Roman" w:eastAsia="Times New Roman" w:hAnsi="Times New Roman" w:cs="Times New Roman"/>
          <w:sz w:val="24"/>
          <w:szCs w:val="24"/>
          <w:lang w:eastAsia="fr-FR"/>
        </w:rPr>
        <w:t xml:space="preserve"> </w:t>
      </w:r>
      <w:proofErr w:type="spellStart"/>
      <w:r w:rsidRPr="00E60B4D">
        <w:rPr>
          <w:rFonts w:ascii="Times New Roman" w:eastAsia="Times New Roman" w:hAnsi="Times New Roman" w:cs="Times New Roman"/>
          <w:i/>
          <w:iCs/>
          <w:sz w:val="24"/>
          <w:szCs w:val="24"/>
          <w:lang w:eastAsia="fr-FR"/>
        </w:rPr>
        <w:t>Arrière plan</w:t>
      </w:r>
      <w:proofErr w:type="spellEnd"/>
      <w:r w:rsidRPr="00E60B4D">
        <w:rPr>
          <w:rFonts w:ascii="Times New Roman" w:eastAsia="Times New Roman" w:hAnsi="Times New Roman" w:cs="Times New Roman"/>
          <w:i/>
          <w:iCs/>
          <w:sz w:val="24"/>
          <w:szCs w:val="24"/>
          <w:lang w:eastAsia="fr-FR"/>
        </w:rPr>
        <w:t xml:space="preserve"> à gauche : ancienne verrerie (2 fours coniques) et résidence de la famille Schneider </w:t>
      </w:r>
      <w:proofErr w:type="spellStart"/>
      <w:r w:rsidRPr="00E60B4D">
        <w:rPr>
          <w:rFonts w:ascii="Times New Roman" w:eastAsia="Times New Roman" w:hAnsi="Times New Roman" w:cs="Times New Roman"/>
          <w:i/>
          <w:iCs/>
          <w:sz w:val="24"/>
          <w:szCs w:val="24"/>
          <w:lang w:eastAsia="fr-FR"/>
        </w:rPr>
        <w:t>arrière plan</w:t>
      </w:r>
      <w:proofErr w:type="spellEnd"/>
      <w:r w:rsidRPr="00E60B4D">
        <w:rPr>
          <w:rFonts w:ascii="Times New Roman" w:eastAsia="Times New Roman" w:hAnsi="Times New Roman" w:cs="Times New Roman"/>
          <w:i/>
          <w:iCs/>
          <w:sz w:val="24"/>
          <w:szCs w:val="24"/>
          <w:lang w:eastAsia="fr-FR"/>
        </w:rPr>
        <w:t xml:space="preserve"> à droite : quartier d’habitations premier plan moitié </w:t>
      </w:r>
      <w:proofErr w:type="spellStart"/>
      <w:r w:rsidRPr="00E60B4D">
        <w:rPr>
          <w:rFonts w:ascii="Times New Roman" w:eastAsia="Times New Roman" w:hAnsi="Times New Roman" w:cs="Times New Roman"/>
          <w:i/>
          <w:iCs/>
          <w:sz w:val="24"/>
          <w:szCs w:val="24"/>
          <w:lang w:eastAsia="fr-FR"/>
        </w:rPr>
        <w:t>inf</w:t>
      </w:r>
      <w:proofErr w:type="spellEnd"/>
      <w:r w:rsidRPr="00E60B4D">
        <w:rPr>
          <w:rFonts w:ascii="Times New Roman" w:eastAsia="Times New Roman" w:hAnsi="Times New Roman" w:cs="Times New Roman"/>
          <w:i/>
          <w:iCs/>
          <w:sz w:val="24"/>
          <w:szCs w:val="24"/>
          <w:lang w:eastAsia="fr-FR"/>
        </w:rPr>
        <w:t xml:space="preserve"> du tableau : usines de fabrication du métal et de constructions mécaniques.</w:t>
      </w:r>
    </w:p>
    <w:p w14:paraId="433DA1BB"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La diversité du patronat industriel. </w:t>
      </w:r>
      <w:r w:rsidRPr="00E60B4D">
        <w:rPr>
          <w:rFonts w:ascii="Times New Roman" w:eastAsia="Times New Roman" w:hAnsi="Times New Roman" w:cs="Times New Roman"/>
          <w:sz w:val="24"/>
          <w:szCs w:val="24"/>
          <w:lang w:eastAsia="fr-FR"/>
        </w:rPr>
        <w:t>Les inventeurs, experts techniques, donnent naissance à des secteurs nouveaux, comme la mécanique. </w:t>
      </w:r>
      <w:r w:rsidRPr="00E60B4D">
        <w:rPr>
          <w:rFonts w:ascii="Times New Roman" w:eastAsia="Times New Roman" w:hAnsi="Times New Roman" w:cs="Times New Roman"/>
          <w:b/>
          <w:bCs/>
          <w:sz w:val="24"/>
          <w:szCs w:val="24"/>
          <w:lang w:eastAsia="fr-FR"/>
        </w:rPr>
        <w:t>Artisans et propriétaires de petites unités de production demeurent majoritaires parmi les patrons.</w:t>
      </w:r>
      <w:r w:rsidRPr="00E60B4D">
        <w:rPr>
          <w:rFonts w:ascii="Times New Roman" w:eastAsia="Times New Roman" w:hAnsi="Times New Roman" w:cs="Times New Roman"/>
          <w:sz w:val="24"/>
          <w:szCs w:val="24"/>
          <w:lang w:eastAsia="fr-FR"/>
        </w:rPr>
        <w:t> Néanmoins, </w:t>
      </w:r>
      <w:r w:rsidRPr="00E60B4D">
        <w:rPr>
          <w:rFonts w:ascii="Times New Roman" w:eastAsia="Times New Roman" w:hAnsi="Times New Roman" w:cs="Times New Roman"/>
          <w:b/>
          <w:bCs/>
          <w:sz w:val="24"/>
          <w:szCs w:val="24"/>
          <w:lang w:eastAsia="fr-FR"/>
        </w:rPr>
        <w:t>les grands entrepreneurs montent en puissance</w:t>
      </w:r>
      <w:r w:rsidRPr="00E60B4D">
        <w:rPr>
          <w:rFonts w:ascii="Times New Roman" w:eastAsia="Times New Roman" w:hAnsi="Times New Roman" w:cs="Times New Roman"/>
          <w:sz w:val="24"/>
          <w:szCs w:val="24"/>
          <w:lang w:eastAsia="fr-FR"/>
        </w:rPr>
        <w:t>. S’emparant des nouveaux procédés de production, ils les mettent à profit grâce à leur forte capacité d’investissement. Des régions comme l’Alsace ou le Nord voient naître des dynasties patronales et de très grandes entreprises, notamment dans le textile (Dollfus-</w:t>
      </w:r>
      <w:proofErr w:type="spellStart"/>
      <w:r w:rsidRPr="00E60B4D">
        <w:rPr>
          <w:rFonts w:ascii="Times New Roman" w:eastAsia="Times New Roman" w:hAnsi="Times New Roman" w:cs="Times New Roman"/>
          <w:sz w:val="24"/>
          <w:szCs w:val="24"/>
          <w:lang w:eastAsia="fr-FR"/>
        </w:rPr>
        <w:t>Mieg</w:t>
      </w:r>
      <w:proofErr w:type="spellEnd"/>
      <w:r w:rsidRPr="00E60B4D">
        <w:rPr>
          <w:rFonts w:ascii="Times New Roman" w:eastAsia="Times New Roman" w:hAnsi="Times New Roman" w:cs="Times New Roman"/>
          <w:sz w:val="24"/>
          <w:szCs w:val="24"/>
          <w:lang w:eastAsia="fr-FR"/>
        </w:rPr>
        <w:t xml:space="preserve"> et Koechlin à Mulhouse, Motte à Roubaix). Les entrepreneurs forment un milieu influent, qui trouve parfois avec le </w:t>
      </w:r>
      <w:r w:rsidRPr="00E60B4D">
        <w:rPr>
          <w:rFonts w:ascii="Times New Roman" w:eastAsia="Times New Roman" w:hAnsi="Times New Roman" w:cs="Times New Roman"/>
          <w:b/>
          <w:bCs/>
          <w:sz w:val="24"/>
          <w:szCs w:val="24"/>
          <w:lang w:eastAsia="fr-FR"/>
        </w:rPr>
        <w:t>paternalisme</w:t>
      </w:r>
      <w:r w:rsidRPr="00E60B4D">
        <w:rPr>
          <w:rFonts w:ascii="Times New Roman" w:eastAsia="Times New Roman" w:hAnsi="Times New Roman" w:cs="Times New Roman"/>
          <w:sz w:val="24"/>
          <w:szCs w:val="24"/>
          <w:lang w:eastAsia="fr-FR"/>
        </w:rPr>
        <w:t> un moyen de concilier la préservation de ses intérêts et ses valeurs conservatrices.</w:t>
      </w:r>
    </w:p>
    <w:p w14:paraId="2E72597A"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 xml:space="preserve">Les disparités du monde </w:t>
      </w:r>
      <w:proofErr w:type="spellStart"/>
      <w:proofErr w:type="gramStart"/>
      <w:r w:rsidRPr="00E60B4D">
        <w:rPr>
          <w:rFonts w:ascii="Times New Roman" w:eastAsia="Times New Roman" w:hAnsi="Times New Roman" w:cs="Times New Roman"/>
          <w:b/>
          <w:bCs/>
          <w:sz w:val="24"/>
          <w:szCs w:val="24"/>
          <w:lang w:eastAsia="fr-FR"/>
        </w:rPr>
        <w:t>ouvrier.La</w:t>
      </w:r>
      <w:proofErr w:type="spellEnd"/>
      <w:proofErr w:type="gramEnd"/>
      <w:r w:rsidRPr="00E60B4D">
        <w:rPr>
          <w:rFonts w:ascii="Times New Roman" w:eastAsia="Times New Roman" w:hAnsi="Times New Roman" w:cs="Times New Roman"/>
          <w:b/>
          <w:bCs/>
          <w:sz w:val="24"/>
          <w:szCs w:val="24"/>
          <w:lang w:eastAsia="fr-FR"/>
        </w:rPr>
        <w:t xml:space="preserve"> situation des ouvriers dépend de leurs qualifications.</w:t>
      </w:r>
      <w:r w:rsidRPr="00E60B4D">
        <w:rPr>
          <w:rFonts w:ascii="Times New Roman" w:eastAsia="Times New Roman" w:hAnsi="Times New Roman" w:cs="Times New Roman"/>
          <w:sz w:val="24"/>
          <w:szCs w:val="24"/>
          <w:lang w:eastAsia="fr-FR"/>
        </w:rPr>
        <w:t> Les ouvriers très qualifiés – relieurs, typographes, porcelainiers ou souffleurs de verre – savent lire et reçoivent un salaire 3 à 5 fois supérieur à celui des ouvriers du textile et des mineurs, à 80 % analphabètes. Les femmes sont 2 à 3 fois moins payées que les hommes, et de nombreux enfants travaillent malgré la loi de 1841 (interdiction du travail des enfants de moins de 8 ans), souvent 12 heures par jour. </w:t>
      </w:r>
      <w:r w:rsidRPr="00E60B4D">
        <w:rPr>
          <w:rFonts w:ascii="Times New Roman" w:eastAsia="Times New Roman" w:hAnsi="Times New Roman" w:cs="Times New Roman"/>
          <w:b/>
          <w:bCs/>
          <w:sz w:val="24"/>
          <w:szCs w:val="24"/>
          <w:lang w:eastAsia="fr-FR"/>
        </w:rPr>
        <w:t>Tous doivent avoir un livret ouvrier</w:t>
      </w:r>
      <w:r w:rsidRPr="00E60B4D">
        <w:rPr>
          <w:rFonts w:ascii="Times New Roman" w:eastAsia="Times New Roman" w:hAnsi="Times New Roman" w:cs="Times New Roman"/>
          <w:sz w:val="24"/>
          <w:szCs w:val="24"/>
          <w:lang w:eastAsia="fr-FR"/>
        </w:rPr>
        <w:t>, qui permet de surveiller leurs déplacements et leurs emplois. L’écrasante majorité vit dans la misère.</w:t>
      </w:r>
    </w:p>
    <w:p w14:paraId="73DF6F4A"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 </w:t>
      </w:r>
    </w:p>
    <w:p w14:paraId="5DBD5F25"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color w:val="333399"/>
          <w:sz w:val="24"/>
          <w:szCs w:val="24"/>
          <w:lang w:eastAsia="fr-FR"/>
        </w:rPr>
        <w:t>C. La montée des revendications ouvrière.</w:t>
      </w:r>
    </w:p>
    <w:p w14:paraId="44F7F29F"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lastRenderedPageBreak/>
        <w:t>Une organisation croissante des ouvriers. </w:t>
      </w:r>
      <w:r w:rsidRPr="00E60B4D">
        <w:rPr>
          <w:rFonts w:ascii="Times New Roman" w:eastAsia="Times New Roman" w:hAnsi="Times New Roman" w:cs="Times New Roman"/>
          <w:sz w:val="24"/>
          <w:szCs w:val="24"/>
          <w:lang w:eastAsia="fr-FR"/>
        </w:rPr>
        <w:t>La persistance de petites unités de production fragilise les ouvriers : premiers touchés en cas de baisse de l’activité, peu nombreux et mal organisés, ils ne peuvent contester collectivement leur sort. Au contraire, </w:t>
      </w:r>
      <w:r w:rsidRPr="00E60B4D">
        <w:rPr>
          <w:rFonts w:ascii="Times New Roman" w:eastAsia="Times New Roman" w:hAnsi="Times New Roman" w:cs="Times New Roman"/>
          <w:b/>
          <w:bCs/>
          <w:sz w:val="24"/>
          <w:szCs w:val="24"/>
          <w:lang w:eastAsia="fr-FR"/>
        </w:rPr>
        <w:t>le développement de grands pôles industriels facilite leur organisation</w:t>
      </w:r>
      <w:r w:rsidRPr="00E60B4D">
        <w:rPr>
          <w:rFonts w:ascii="Times New Roman" w:eastAsia="Times New Roman" w:hAnsi="Times New Roman" w:cs="Times New Roman"/>
          <w:sz w:val="24"/>
          <w:szCs w:val="24"/>
          <w:lang w:eastAsia="fr-FR"/>
        </w:rPr>
        <w:t>. Sociétés de secours mutuel (maladies, vieillesse, chômage) et coopératives de consommation se développent. Des grèves courtes permettent parfois d’obtenir hausses de salaire et réduction du temps de travail malgré la répression, car toute </w:t>
      </w:r>
      <w:r w:rsidRPr="00E60B4D">
        <w:rPr>
          <w:rFonts w:ascii="Times New Roman" w:eastAsia="Times New Roman" w:hAnsi="Times New Roman" w:cs="Times New Roman"/>
          <w:b/>
          <w:bCs/>
          <w:sz w:val="24"/>
          <w:szCs w:val="24"/>
          <w:lang w:eastAsia="fr-FR"/>
        </w:rPr>
        <w:t>coalition</w:t>
      </w:r>
      <w:r w:rsidRPr="00E60B4D">
        <w:rPr>
          <w:rFonts w:ascii="Times New Roman" w:eastAsia="Times New Roman" w:hAnsi="Times New Roman" w:cs="Times New Roman"/>
          <w:sz w:val="24"/>
          <w:szCs w:val="24"/>
          <w:lang w:eastAsia="fr-FR"/>
        </w:rPr>
        <w:t> est alors interdite.</w:t>
      </w:r>
    </w:p>
    <w:p w14:paraId="772391FA" w14:textId="75B01071"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075C07C5" wp14:editId="4BB4E488">
            <wp:extent cx="2849245" cy="3636645"/>
            <wp:effectExtent l="0" t="0" r="8255" b="190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49245" cy="3636645"/>
                    </a:xfrm>
                    <a:prstGeom prst="rect">
                      <a:avLst/>
                    </a:prstGeom>
                    <a:noFill/>
                    <a:ln>
                      <a:noFill/>
                    </a:ln>
                  </pic:spPr>
                </pic:pic>
              </a:graphicData>
            </a:graphic>
          </wp:inline>
        </w:drawing>
      </w:r>
    </w:p>
    <w:p w14:paraId="2AA42A51"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i/>
          <w:iCs/>
          <w:sz w:val="24"/>
          <w:szCs w:val="24"/>
          <w:lang w:eastAsia="fr-FR"/>
        </w:rPr>
        <w:t>Document : La fin du délit de coalition (1864)</w:t>
      </w:r>
    </w:p>
    <w:p w14:paraId="76F8410F"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i/>
          <w:iCs/>
          <w:sz w:val="24"/>
          <w:szCs w:val="24"/>
          <w:lang w:eastAsia="fr-FR"/>
        </w:rPr>
        <w:t>J’ai voulu simplement résumer dans quelques formules claires et sommaires les principales conditions auxquelles est désormais soumise la faculté de se coaliser, afin que les patrons et les ouvriers puissent, sans le conseil de personne, juger eux-mêmes de l’étendue de leurs droits et les exercer sans péril. Je compléterai ces premières indications à mesure que la pratique en démontrera l’insuffisance, ce qui, je l’espère, ne sera pas nécessaire, si les coalitions futures conservent le caractère de calme et de dignité paisible qu’elles ont eu récemment à Bordeaux et à Limoges. […] Sans doute [cette loi] doit être complétée, mais elle n’en est pas moins une des meilleures qui aient été faites par le gouvernement actuel, une de celles dont doivent le plus se réjouir ceux qui considèrent l’amélioration du sort des travailleurs comme constituant le but supérieur de la politique. Depuis le commencement de ce siècle, le peuple n’a fait que deux conquêtes : l’une politique, l’autre sociale. La conquête politique, c’est le suffrage universel ; la conquête sociale, c’est le droit de se coaliser.</w:t>
      </w:r>
    </w:p>
    <w:p w14:paraId="2CE4E246"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i/>
          <w:iCs/>
          <w:sz w:val="24"/>
          <w:szCs w:val="24"/>
          <w:lang w:eastAsia="fr-FR"/>
        </w:rPr>
        <w:t xml:space="preserve">Émile Ollivier, Commentaire de la loi du 25 mai 1864 sur les coalitions, </w:t>
      </w:r>
      <w:proofErr w:type="spellStart"/>
      <w:r w:rsidRPr="00E60B4D">
        <w:rPr>
          <w:rFonts w:ascii="Times New Roman" w:eastAsia="Times New Roman" w:hAnsi="Times New Roman" w:cs="Times New Roman"/>
          <w:i/>
          <w:iCs/>
          <w:sz w:val="24"/>
          <w:szCs w:val="24"/>
          <w:lang w:eastAsia="fr-FR"/>
        </w:rPr>
        <w:t>Marescq</w:t>
      </w:r>
      <w:proofErr w:type="spellEnd"/>
      <w:r w:rsidRPr="00E60B4D">
        <w:rPr>
          <w:rFonts w:ascii="Times New Roman" w:eastAsia="Times New Roman" w:hAnsi="Times New Roman" w:cs="Times New Roman"/>
          <w:i/>
          <w:iCs/>
          <w:sz w:val="24"/>
          <w:szCs w:val="24"/>
          <w:lang w:eastAsia="fr-FR"/>
        </w:rPr>
        <w:t xml:space="preserve"> aîné, 1864.</w:t>
      </w:r>
    </w:p>
    <w:p w14:paraId="63C95ACA"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La loi de 1864 et l’émergence d’une parole politique. </w:t>
      </w:r>
      <w:r w:rsidRPr="00E60B4D">
        <w:rPr>
          <w:rFonts w:ascii="Times New Roman" w:eastAsia="Times New Roman" w:hAnsi="Times New Roman" w:cs="Times New Roman"/>
          <w:sz w:val="24"/>
          <w:szCs w:val="24"/>
          <w:lang w:eastAsia="fr-FR"/>
        </w:rPr>
        <w:t xml:space="preserve">En 1862, Napoléon III organise le déplacement d’une délégation ouvrière à l’Exposition universelle de Londres. Ses membres y découvrent le syndicalisme anglais et le droit de grève. Ils affirment alors leur volonté d’agir </w:t>
      </w:r>
      <w:r w:rsidRPr="00E60B4D">
        <w:rPr>
          <w:rFonts w:ascii="Times New Roman" w:eastAsia="Times New Roman" w:hAnsi="Times New Roman" w:cs="Times New Roman"/>
          <w:sz w:val="24"/>
          <w:szCs w:val="24"/>
          <w:lang w:eastAsia="fr-FR"/>
        </w:rPr>
        <w:lastRenderedPageBreak/>
        <w:t>collectivement et d’être représentés. </w:t>
      </w:r>
      <w:r w:rsidRPr="00E60B4D">
        <w:rPr>
          <w:rFonts w:ascii="Times New Roman" w:eastAsia="Times New Roman" w:hAnsi="Times New Roman" w:cs="Times New Roman"/>
          <w:b/>
          <w:bCs/>
          <w:sz w:val="24"/>
          <w:szCs w:val="24"/>
          <w:lang w:eastAsia="fr-FR"/>
        </w:rPr>
        <w:t>Le 25 mai 1864, la loi Ollivier supprime le délit de coalition, dépénalisant la grève sous certaines conditions.</w:t>
      </w:r>
    </w:p>
    <w:p w14:paraId="3EACDC89"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En septembre, l’Association internationale des travailleurs voit le jour à Londres, portée par la pensée </w:t>
      </w:r>
      <w:r w:rsidRPr="00E60B4D">
        <w:rPr>
          <w:rFonts w:ascii="Times New Roman" w:eastAsia="Times New Roman" w:hAnsi="Times New Roman" w:cs="Times New Roman"/>
          <w:b/>
          <w:bCs/>
          <w:sz w:val="24"/>
          <w:szCs w:val="24"/>
          <w:lang w:eastAsia="fr-FR"/>
        </w:rPr>
        <w:t>marxiste</w:t>
      </w:r>
      <w:r w:rsidRPr="00E60B4D">
        <w:rPr>
          <w:rFonts w:ascii="Times New Roman" w:eastAsia="Times New Roman" w:hAnsi="Times New Roman" w:cs="Times New Roman"/>
          <w:sz w:val="24"/>
          <w:szCs w:val="24"/>
          <w:lang w:eastAsia="fr-FR"/>
        </w:rPr>
        <w:t>. </w:t>
      </w:r>
      <w:r w:rsidRPr="00E60B4D">
        <w:rPr>
          <w:rFonts w:ascii="Times New Roman" w:eastAsia="Times New Roman" w:hAnsi="Times New Roman" w:cs="Times New Roman"/>
          <w:b/>
          <w:bCs/>
          <w:sz w:val="24"/>
          <w:szCs w:val="24"/>
          <w:lang w:eastAsia="fr-FR"/>
        </w:rPr>
        <w:t>Cela encourage la multiplication des grèves en France, notamment en 1869 et 1870. En choisissant la répression, </w:t>
      </w:r>
      <w:r w:rsidRPr="00E60B4D">
        <w:rPr>
          <w:rFonts w:ascii="Times New Roman" w:eastAsia="Times New Roman" w:hAnsi="Times New Roman" w:cs="Times New Roman"/>
          <w:sz w:val="24"/>
          <w:szCs w:val="24"/>
          <w:lang w:eastAsia="fr-FR"/>
        </w:rPr>
        <w:t>l’Empire montre qu’il n’est pas parvenu à rallier les ouvriers.</w:t>
      </w:r>
    </w:p>
    <w:p w14:paraId="089555DB"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 </w:t>
      </w:r>
    </w:p>
    <w:p w14:paraId="640B5D1E"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b/>
          <w:bCs/>
          <w:sz w:val="24"/>
          <w:szCs w:val="24"/>
          <w:lang w:eastAsia="fr-FR"/>
        </w:rPr>
        <w:t> CONCLUSION</w:t>
      </w:r>
    </w:p>
    <w:p w14:paraId="23002855" w14:textId="111A6B4F"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70A2C636" wp14:editId="6B9B7081">
            <wp:extent cx="2553384" cy="1626781"/>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72800" cy="1639151"/>
                    </a:xfrm>
                    <a:prstGeom prst="rect">
                      <a:avLst/>
                    </a:prstGeom>
                    <a:noFill/>
                    <a:ln>
                      <a:noFill/>
                    </a:ln>
                  </pic:spPr>
                </pic:pic>
              </a:graphicData>
            </a:graphic>
          </wp:inline>
        </w:drawing>
      </w:r>
      <w:r w:rsidR="000801F1" w:rsidRPr="00E60B4D">
        <w:rPr>
          <w:rFonts w:ascii="Times New Roman" w:eastAsia="Times New Roman" w:hAnsi="Times New Roman" w:cs="Times New Roman"/>
          <w:noProof/>
          <w:sz w:val="24"/>
          <w:szCs w:val="24"/>
          <w:lang w:eastAsia="fr-FR"/>
        </w:rPr>
        <w:drawing>
          <wp:inline distT="0" distB="0" distL="0" distR="0" wp14:anchorId="3D9378FC" wp14:editId="4B3D63C9">
            <wp:extent cx="2328531" cy="1618291"/>
            <wp:effectExtent l="0" t="0" r="0" b="127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55872" cy="1637293"/>
                    </a:xfrm>
                    <a:prstGeom prst="rect">
                      <a:avLst/>
                    </a:prstGeom>
                    <a:noFill/>
                    <a:ln>
                      <a:noFill/>
                    </a:ln>
                  </pic:spPr>
                </pic:pic>
              </a:graphicData>
            </a:graphic>
          </wp:inline>
        </w:drawing>
      </w:r>
    </w:p>
    <w:p w14:paraId="581815F3" w14:textId="255EE911" w:rsidR="00E60B4D" w:rsidRPr="00E60B4D" w:rsidRDefault="000801F1"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drawing>
          <wp:inline distT="0" distB="0" distL="0" distR="0" wp14:anchorId="451FEF11" wp14:editId="75233A5C">
            <wp:extent cx="2445489" cy="1709408"/>
            <wp:effectExtent l="0" t="0" r="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1672" cy="1720720"/>
                    </a:xfrm>
                    <a:prstGeom prst="rect">
                      <a:avLst/>
                    </a:prstGeom>
                    <a:noFill/>
                    <a:ln>
                      <a:noFill/>
                    </a:ln>
                  </pic:spPr>
                </pic:pic>
              </a:graphicData>
            </a:graphic>
          </wp:inline>
        </w:drawing>
      </w:r>
    </w:p>
    <w:p w14:paraId="2F0EF9A6" w14:textId="4C08A2AD"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 </w:t>
      </w:r>
    </w:p>
    <w:p w14:paraId="6C8C1E22" w14:textId="338ED00E"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p>
    <w:p w14:paraId="566CED78" w14:textId="77777777"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sz w:val="24"/>
          <w:szCs w:val="24"/>
          <w:lang w:eastAsia="fr-FR"/>
        </w:rPr>
        <w:t> </w:t>
      </w:r>
    </w:p>
    <w:p w14:paraId="2BDEFCD2" w14:textId="3CFC63CE" w:rsidR="00E60B4D" w:rsidRPr="00E60B4D" w:rsidRDefault="00E60B4D" w:rsidP="00E60B4D">
      <w:pPr>
        <w:spacing w:before="100" w:beforeAutospacing="1" w:after="100" w:afterAutospacing="1" w:line="240" w:lineRule="auto"/>
        <w:rPr>
          <w:rFonts w:ascii="Times New Roman" w:eastAsia="Times New Roman" w:hAnsi="Times New Roman" w:cs="Times New Roman"/>
          <w:sz w:val="24"/>
          <w:szCs w:val="24"/>
          <w:lang w:eastAsia="fr-FR"/>
        </w:rPr>
      </w:pPr>
      <w:r w:rsidRPr="00E60B4D">
        <w:rPr>
          <w:rFonts w:ascii="Times New Roman" w:eastAsia="Times New Roman" w:hAnsi="Times New Roman" w:cs="Times New Roman"/>
          <w:noProof/>
          <w:sz w:val="24"/>
          <w:szCs w:val="24"/>
          <w:lang w:eastAsia="fr-FR"/>
        </w:rPr>
        <w:lastRenderedPageBreak/>
        <w:drawing>
          <wp:inline distT="0" distB="0" distL="0" distR="0" wp14:anchorId="2B3C9D91" wp14:editId="463CA7DC">
            <wp:extent cx="4776925" cy="6390168"/>
            <wp:effectExtent l="0" t="0" r="508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78381" cy="6392116"/>
                    </a:xfrm>
                    <a:prstGeom prst="rect">
                      <a:avLst/>
                    </a:prstGeom>
                    <a:noFill/>
                    <a:ln>
                      <a:noFill/>
                    </a:ln>
                  </pic:spPr>
                </pic:pic>
              </a:graphicData>
            </a:graphic>
          </wp:inline>
        </w:drawing>
      </w:r>
    </w:p>
    <w:p w14:paraId="2AFA5547" w14:textId="77777777" w:rsidR="00E60B4D" w:rsidRDefault="00E60B4D"/>
    <w:sectPr w:rsidR="00E60B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0B4D"/>
    <w:rsid w:val="000801F1"/>
    <w:rsid w:val="00E60B4D"/>
    <w:rsid w:val="00F62A0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928C2C"/>
  <w15:chartTrackingRefBased/>
  <w15:docId w15:val="{D0955C70-DF51-409B-A719-44BEFD503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link w:val="Titre1Car"/>
    <w:uiPriority w:val="9"/>
    <w:qFormat/>
    <w:rsid w:val="00E60B4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0B4D"/>
    <w:rPr>
      <w:rFonts w:ascii="Times New Roman" w:eastAsia="Times New Roman" w:hAnsi="Times New Roman" w:cs="Times New Roman"/>
      <w:b/>
      <w:bCs/>
      <w:kern w:val="36"/>
      <w:sz w:val="48"/>
      <w:szCs w:val="48"/>
      <w:lang w:eastAsia="fr-FR"/>
    </w:rPr>
  </w:style>
  <w:style w:type="paragraph" w:styleId="NormalWeb">
    <w:name w:val="Normal (Web)"/>
    <w:basedOn w:val="Normal"/>
    <w:uiPriority w:val="99"/>
    <w:semiHidden/>
    <w:unhideWhenUsed/>
    <w:rsid w:val="00E60B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Accentuation">
    <w:name w:val="Emphasis"/>
    <w:basedOn w:val="Policepardfaut"/>
    <w:uiPriority w:val="20"/>
    <w:qFormat/>
    <w:rsid w:val="00E60B4D"/>
    <w:rPr>
      <w:i/>
      <w:iCs/>
    </w:rPr>
  </w:style>
  <w:style w:type="character" w:styleId="lev">
    <w:name w:val="Strong"/>
    <w:basedOn w:val="Policepardfaut"/>
    <w:uiPriority w:val="22"/>
    <w:qFormat/>
    <w:rsid w:val="00E60B4D"/>
    <w:rPr>
      <w:b/>
      <w:bCs/>
    </w:rPr>
  </w:style>
  <w:style w:type="paragraph" w:customStyle="1" w:styleId="rfkx">
    <w:name w:val="rf_kx"/>
    <w:basedOn w:val="Normal"/>
    <w:rsid w:val="00E60B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lg">
    <w:name w:val="rf_lg"/>
    <w:basedOn w:val="Policepardfaut"/>
    <w:rsid w:val="00E60B4D"/>
  </w:style>
  <w:style w:type="paragraph" w:customStyle="1" w:styleId="rfkv">
    <w:name w:val="rf_kv"/>
    <w:basedOn w:val="Normal"/>
    <w:rsid w:val="00E60B4D"/>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rflq">
    <w:name w:val="rf_lq"/>
    <w:basedOn w:val="Policepardfaut"/>
    <w:rsid w:val="00E60B4D"/>
  </w:style>
  <w:style w:type="character" w:customStyle="1" w:styleId="rfmh">
    <w:name w:val="rf_mh"/>
    <w:basedOn w:val="Policepardfaut"/>
    <w:rsid w:val="00E60B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6027244">
      <w:bodyDiv w:val="1"/>
      <w:marLeft w:val="0"/>
      <w:marRight w:val="0"/>
      <w:marTop w:val="0"/>
      <w:marBottom w:val="0"/>
      <w:divBdr>
        <w:top w:val="none" w:sz="0" w:space="0" w:color="auto"/>
        <w:left w:val="none" w:sz="0" w:space="0" w:color="auto"/>
        <w:bottom w:val="none" w:sz="0" w:space="0" w:color="auto"/>
        <w:right w:val="none" w:sz="0" w:space="0" w:color="auto"/>
      </w:divBdr>
      <w:divsChild>
        <w:div w:id="14010534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8</Pages>
  <Words>1882</Words>
  <Characters>10354</Characters>
  <Application>Microsoft Office Word</Application>
  <DocSecurity>0</DocSecurity>
  <Lines>86</Lines>
  <Paragraphs>24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famille.lagier@outlook.fr</dc:creator>
  <cp:keywords/>
  <dc:description/>
  <cp:lastModifiedBy>famille.lagier@outlook.fr</cp:lastModifiedBy>
  <cp:revision>1</cp:revision>
  <dcterms:created xsi:type="dcterms:W3CDTF">2021-01-24T12:52:00Z</dcterms:created>
  <dcterms:modified xsi:type="dcterms:W3CDTF">2021-01-24T13:19:00Z</dcterms:modified>
</cp:coreProperties>
</file>